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291B4F">
        <w:rPr>
          <w:rFonts w:ascii="Arial" w:hAnsi="Arial" w:cs="Arial"/>
          <w:b/>
          <w:sz w:val="18"/>
          <w:szCs w:val="18"/>
        </w:rPr>
        <w:t>330</w:t>
      </w:r>
      <w:r w:rsidRPr="00171A54">
        <w:rPr>
          <w:rFonts w:ascii="Arial" w:hAnsi="Arial" w:cs="Arial"/>
          <w:b/>
          <w:sz w:val="18"/>
          <w:szCs w:val="18"/>
        </w:rPr>
        <w:t>/</w:t>
      </w:r>
      <w:r w:rsidR="00896425">
        <w:rPr>
          <w:rFonts w:ascii="Arial" w:hAnsi="Arial" w:cs="Arial"/>
          <w:b/>
          <w:sz w:val="18"/>
          <w:szCs w:val="18"/>
        </w:rPr>
        <w:t>2022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291B4F">
        <w:rPr>
          <w:rFonts w:ascii="Arial" w:hAnsi="Arial" w:cs="Arial"/>
          <w:bCs/>
          <w:sz w:val="18"/>
          <w:szCs w:val="18"/>
        </w:rPr>
        <w:t>diez de octubre</w:t>
      </w:r>
      <w:r w:rsidR="0089642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96425">
        <w:rPr>
          <w:rFonts w:ascii="Arial" w:hAnsi="Arial" w:cs="Arial"/>
          <w:bCs/>
          <w:sz w:val="18"/>
          <w:szCs w:val="18"/>
        </w:rPr>
        <w:t>de</w:t>
      </w:r>
      <w:proofErr w:type="spellEnd"/>
      <w:r w:rsidR="00896425">
        <w:rPr>
          <w:rFonts w:ascii="Arial" w:hAnsi="Arial" w:cs="Arial"/>
          <w:bCs/>
          <w:sz w:val="18"/>
          <w:szCs w:val="18"/>
        </w:rPr>
        <w:t xml:space="preserve"> dos mil veintidós</w:t>
      </w:r>
      <w:r w:rsidRPr="00171A54">
        <w:rPr>
          <w:rFonts w:ascii="Arial" w:hAnsi="Arial" w:cs="Arial"/>
          <w:bCs/>
          <w:sz w:val="18"/>
          <w:szCs w:val="18"/>
        </w:rPr>
        <w:t xml:space="preserve">, resolvió la </w:t>
      </w:r>
      <w:r w:rsidR="00896425">
        <w:rPr>
          <w:rFonts w:ascii="Arial" w:hAnsi="Arial" w:cs="Arial"/>
          <w:bCs/>
          <w:sz w:val="18"/>
          <w:szCs w:val="18"/>
        </w:rPr>
        <w:t>a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cción de </w:t>
      </w:r>
      <w:r w:rsidR="00896425">
        <w:rPr>
          <w:rFonts w:ascii="Arial" w:hAnsi="Arial" w:cs="Arial"/>
          <w:bCs/>
          <w:sz w:val="18"/>
          <w:szCs w:val="18"/>
        </w:rPr>
        <w:t>i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nconstitucionalidad </w:t>
      </w:r>
      <w:r w:rsidR="00291B4F">
        <w:rPr>
          <w:rFonts w:ascii="Arial" w:hAnsi="Arial" w:cs="Arial"/>
          <w:bCs/>
          <w:sz w:val="18"/>
          <w:szCs w:val="18"/>
        </w:rPr>
        <w:t>52/2022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, promovida por diversos integrantes </w:t>
      </w:r>
      <w:r w:rsidR="00291B4F">
        <w:rPr>
          <w:rFonts w:ascii="Arial" w:hAnsi="Arial" w:cs="Arial"/>
          <w:bCs/>
          <w:sz w:val="18"/>
          <w:szCs w:val="18"/>
        </w:rPr>
        <w:t>de la Cámara de Senadores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“PRIMERO: Es procedente y parcialmente fundada la presente acción de inconstitucionalidad.</w:t>
      </w: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SEGUNDO. Se desestima en la presente acción de inconstitucionalidad respecto de los artículos 23, numeral 1, inciso d), párrafos tercero, en sus porciones normativas ‘en su caso reintegrar’ y ‘o cualquier otro que ponga a la sociedad en grave peligro’, cuarto y quinto –con la salvedad precisada en el punto resolutivo cuarto–, y 25, numeral 1, párrafo último, en su porción normativa ‘o reintegro’, de la Ley General de Partidos Políticos y 19 Ter –con las salvedades precisadas en el punto resolutivo cuarto– de Ley Federal de Presupuesto y Responsabilidad Hacendaria, adicionados mediante el DECRETO publicado en el Diario Oficial de la Federación el veintisiete de febrero de dos mil veintidós.</w:t>
      </w: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TERCERO. Se reconoce la validez de los artículos 23, numeral 1, inciso d), párrafo tercero –con las salvedades precisadas en los puntos resolutivos segundo y cuarto–, y 25, numeral 1, párrafo último –con la salvedad precisada en</w:t>
      </w:r>
      <w:bookmarkStart w:id="0" w:name="_GoBack"/>
      <w:bookmarkEnd w:id="0"/>
      <w:r w:rsidRPr="002628CE">
        <w:rPr>
          <w:rFonts w:ascii="Arial" w:hAnsi="Arial" w:cs="Arial"/>
          <w:b/>
          <w:i/>
          <w:sz w:val="18"/>
          <w:szCs w:val="18"/>
        </w:rPr>
        <w:t xml:space="preserve"> el punto resolutivo segundo–, de la Ley General de Partidos Políticos, adicionados mediante el DECRETO publicado en el Diario Oficial de la Federación el veintisiete de febrero de dos mil veintidós.</w:t>
      </w: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CUARTO: Se declara la invalidez de los artículos 23, numeral 1, inciso d), párrafos tercero, en su porción normativa ‘El reintegro de recursos correspondientes a financiamiento para actividades ordinarias permanentes de los partidos políticos también será aplicable tratándose de remanentes del ejercicio respecto de este tipo de financiamiento’, y quinto, en sus porciones normativas ‘o de remanente de ejercicio’ y ‘El reintegro de los remanentes del ejercicio se podrá realizar hasta en tanto no sea presentado a la Unidad Técnica, el informe anual previsto en el artículo 78, numeral 1, inciso b), de la presente Ley’, de la Ley General de Partidos Políticos y 19 Ter, en sus porciones normativas ‘o remanentes de recursos’ y ‘preferentemente’, de la Ley Federal de Presupuesto y Responsabilidad Hacendaria, adicionados mediante el DECRETO publicado en el Diario Oficial de la Federación el veintisiete de febrero de dos mil veintidós, la cual surtirá sus efectos a partir de la notificación de estos puntos resolutivos al Congreso de la Unión.</w:t>
      </w: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QUINTO. Publíquese esta resolución en el Diario Oficial de la Federación, así como en el Semanario Judicial de la Federación y su Gaceta.”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la declaratoria de invalidez decretada surtirá sus efectos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>a notificación de estos puntos resolutivos al Congreso de la Unión, por lo que le solicito que gire instrucciones para que, a la brevedad, se p</w:t>
      </w:r>
      <w:r w:rsidR="005D3176">
        <w:rPr>
          <w:rFonts w:ascii="Arial" w:hAnsi="Arial" w:cs="Arial"/>
          <w:bCs/>
          <w:sz w:val="18"/>
          <w:szCs w:val="18"/>
        </w:rPr>
        <w:t>ractique la citada notificación</w:t>
      </w:r>
      <w:r w:rsidR="00E157AA">
        <w:rPr>
          <w:rFonts w:ascii="Arial" w:hAnsi="Arial" w:cs="Arial"/>
          <w:bCs/>
          <w:sz w:val="18"/>
          <w:szCs w:val="18"/>
        </w:rPr>
        <w:t>, inclusive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al Congreso de la Unión.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291B4F">
        <w:rPr>
          <w:rFonts w:ascii="Arial" w:hAnsi="Arial" w:cs="Arial"/>
          <w:bCs/>
          <w:sz w:val="18"/>
          <w:szCs w:val="18"/>
        </w:rPr>
        <w:t>10 de octubre</w:t>
      </w:r>
      <w:r w:rsidR="00DF63B3">
        <w:rPr>
          <w:rFonts w:ascii="Arial" w:hAnsi="Arial" w:cs="Arial"/>
          <w:bCs/>
          <w:sz w:val="18"/>
          <w:szCs w:val="18"/>
        </w:rPr>
        <w:t xml:space="preserve"> de 2022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lastRenderedPageBreak/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DF63B3">
        <w:rPr>
          <w:rFonts w:ascii="Arial" w:hAnsi="Arial" w:cs="Arial"/>
          <w:bCs/>
          <w:i/>
          <w:sz w:val="18"/>
          <w:szCs w:val="18"/>
        </w:rPr>
        <w:t xml:space="preserve">martes </w:t>
      </w:r>
      <w:r w:rsidR="00291B4F">
        <w:rPr>
          <w:rFonts w:ascii="Arial" w:hAnsi="Arial" w:cs="Arial"/>
          <w:bCs/>
          <w:i/>
          <w:sz w:val="18"/>
          <w:szCs w:val="18"/>
        </w:rPr>
        <w:t>11 de octubre</w:t>
      </w:r>
      <w:r w:rsidR="00DF63B3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F63B3">
        <w:rPr>
          <w:rFonts w:ascii="Arial" w:hAnsi="Arial" w:cs="Arial"/>
          <w:bCs/>
          <w:i/>
          <w:sz w:val="18"/>
          <w:szCs w:val="18"/>
        </w:rPr>
        <w:t>de</w:t>
      </w:r>
      <w:proofErr w:type="spellEnd"/>
      <w:r w:rsidR="00DF63B3">
        <w:rPr>
          <w:rFonts w:ascii="Arial" w:hAnsi="Arial" w:cs="Arial"/>
          <w:bCs/>
          <w:i/>
          <w:sz w:val="18"/>
          <w:szCs w:val="18"/>
        </w:rPr>
        <w:t xml:space="preserve"> 2022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a las </w:t>
      </w:r>
      <w:r w:rsidR="00DF63B3">
        <w:rPr>
          <w:rFonts w:ascii="Arial" w:hAnsi="Arial" w:cs="Arial"/>
          <w:bCs/>
          <w:i/>
          <w:sz w:val="18"/>
          <w:szCs w:val="18"/>
        </w:rPr>
        <w:t>11</w:t>
      </w:r>
      <w:r w:rsidR="005D3176">
        <w:rPr>
          <w:rFonts w:ascii="Arial" w:hAnsi="Arial" w:cs="Arial"/>
          <w:bCs/>
          <w:i/>
          <w:sz w:val="18"/>
          <w:szCs w:val="18"/>
        </w:rPr>
        <w:t>:</w:t>
      </w:r>
      <w:r w:rsidR="00E157AA">
        <w:rPr>
          <w:rFonts w:ascii="Arial" w:hAnsi="Arial" w:cs="Arial"/>
          <w:bCs/>
          <w:i/>
          <w:sz w:val="18"/>
          <w:szCs w:val="18"/>
        </w:rPr>
        <w:t>00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A8" w:rsidRDefault="008651A8" w:rsidP="003A55F9">
      <w:pPr>
        <w:spacing w:after="0" w:line="240" w:lineRule="auto"/>
      </w:pPr>
      <w:r>
        <w:separator/>
      </w:r>
    </w:p>
  </w:endnote>
  <w:endnote w:type="continuationSeparator" w:id="0">
    <w:p w:rsidR="008651A8" w:rsidRDefault="008651A8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628C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628C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A8" w:rsidRDefault="008651A8" w:rsidP="003A55F9">
      <w:pPr>
        <w:spacing w:after="0" w:line="240" w:lineRule="auto"/>
      </w:pPr>
      <w:r>
        <w:separator/>
      </w:r>
    </w:p>
  </w:footnote>
  <w:footnote w:type="continuationSeparator" w:id="0">
    <w:p w:rsidR="008651A8" w:rsidRDefault="008651A8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0C5AB4"/>
    <w:rsid w:val="00115AC3"/>
    <w:rsid w:val="001604AA"/>
    <w:rsid w:val="00170216"/>
    <w:rsid w:val="00171A54"/>
    <w:rsid w:val="001D6169"/>
    <w:rsid w:val="001E2C17"/>
    <w:rsid w:val="00202E6A"/>
    <w:rsid w:val="002628CE"/>
    <w:rsid w:val="00270FC9"/>
    <w:rsid w:val="00291B4F"/>
    <w:rsid w:val="002B066C"/>
    <w:rsid w:val="002B072B"/>
    <w:rsid w:val="002E1597"/>
    <w:rsid w:val="002E287D"/>
    <w:rsid w:val="0038520E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D7FBD"/>
    <w:rsid w:val="00723710"/>
    <w:rsid w:val="007A1043"/>
    <w:rsid w:val="00801215"/>
    <w:rsid w:val="00811CDD"/>
    <w:rsid w:val="00846C48"/>
    <w:rsid w:val="008651A8"/>
    <w:rsid w:val="00881F9D"/>
    <w:rsid w:val="00896425"/>
    <w:rsid w:val="00924B92"/>
    <w:rsid w:val="009521BC"/>
    <w:rsid w:val="0095425E"/>
    <w:rsid w:val="00984E4D"/>
    <w:rsid w:val="009D4ED6"/>
    <w:rsid w:val="009F0663"/>
    <w:rsid w:val="00A721F6"/>
    <w:rsid w:val="00AB7C43"/>
    <w:rsid w:val="00AC0BD0"/>
    <w:rsid w:val="00AC3604"/>
    <w:rsid w:val="00AD6042"/>
    <w:rsid w:val="00B15B3F"/>
    <w:rsid w:val="00B371B0"/>
    <w:rsid w:val="00B55AE8"/>
    <w:rsid w:val="00BD261D"/>
    <w:rsid w:val="00BE4529"/>
    <w:rsid w:val="00C13CE1"/>
    <w:rsid w:val="00C16825"/>
    <w:rsid w:val="00C53666"/>
    <w:rsid w:val="00C92A52"/>
    <w:rsid w:val="00D560C9"/>
    <w:rsid w:val="00D877B7"/>
    <w:rsid w:val="00DF63B3"/>
    <w:rsid w:val="00E157AA"/>
    <w:rsid w:val="00E346A0"/>
    <w:rsid w:val="00E35BC1"/>
    <w:rsid w:val="00E74B29"/>
    <w:rsid w:val="00F25B43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B370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3: Ley Federal de Telecomunicaciones y Radiodifusión. Notificación 30-08-2022</vt:lpstr>
    </vt:vector>
  </TitlesOfParts>
  <Company>Cámara de Diputados del H. Congreso de la Unión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2: Ley Federal de Presupuesto y Responsabilidad Hacendaria. Notificación 11-10-2022</dc:title>
  <dc:subject/>
  <dc:creator>Torres</dc:creator>
  <cp:keywords/>
  <dc:description/>
  <cp:lastModifiedBy>Armando Torres</cp:lastModifiedBy>
  <cp:revision>8</cp:revision>
  <dcterms:created xsi:type="dcterms:W3CDTF">2022-10-11T18:22:00Z</dcterms:created>
  <dcterms:modified xsi:type="dcterms:W3CDTF">2022-10-11T18:48:00Z</dcterms:modified>
</cp:coreProperties>
</file>