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11" w:rsidRDefault="00EC0111">
      <w:pPr>
        <w:rPr>
          <w:rFonts w:ascii="Calibri" w:hAnsi="Calibri"/>
        </w:rPr>
      </w:pPr>
    </w:p>
    <w:p w:rsidR="00EC0111" w:rsidRDefault="00EC0111">
      <w:pPr>
        <w:rPr>
          <w:rFonts w:ascii="Calibri" w:hAnsi="Calibri"/>
        </w:rPr>
      </w:pPr>
    </w:p>
    <w:p w:rsidR="00AB00D7" w:rsidRPr="00E33C49" w:rsidRDefault="00EC0111">
      <w:pPr>
        <w:rPr>
          <w:rFonts w:ascii="Calibri" w:hAnsi="Calibri"/>
          <w:u w:val="single"/>
        </w:rPr>
      </w:pPr>
      <w:r w:rsidRPr="00EC0111">
        <w:rPr>
          <w:rFonts w:ascii="Calibri" w:hAnsi="Calibri"/>
        </w:rPr>
        <w:t>Nombre de la organización:</w:t>
      </w:r>
      <w:r w:rsidR="00E33C49">
        <w:rPr>
          <w:rFonts w:ascii="Calibri" w:hAnsi="Calibri"/>
        </w:rPr>
        <w:t xml:space="preserve">  </w:t>
      </w:r>
      <w:r w:rsidR="00E33C49" w:rsidRPr="00E33C49">
        <w:rPr>
          <w:rFonts w:ascii="Calibri" w:hAnsi="Calibri"/>
          <w:u w:val="single"/>
        </w:rPr>
        <w:t xml:space="preserve"> Asociación de Agricultores del Río Culiacán, A.C.</w:t>
      </w:r>
    </w:p>
    <w:p w:rsidR="00EC0111" w:rsidRPr="00EC0111" w:rsidRDefault="00EC0111">
      <w:pPr>
        <w:rPr>
          <w:rFonts w:ascii="Calibri" w:hAnsi="Calibri"/>
        </w:rPr>
      </w:pPr>
    </w:p>
    <w:tbl>
      <w:tblPr>
        <w:tblStyle w:val="Tablaconcuadrcula"/>
        <w:tblW w:w="0" w:type="auto"/>
        <w:tblLook w:val="04A0" w:firstRow="1" w:lastRow="0" w:firstColumn="1" w:lastColumn="0" w:noHBand="0" w:noVBand="1"/>
      </w:tblPr>
      <w:tblGrid>
        <w:gridCol w:w="4382"/>
        <w:gridCol w:w="4382"/>
        <w:gridCol w:w="4382"/>
      </w:tblGrid>
      <w:tr w:rsidR="00EC0111" w:rsidRPr="00EC0111" w:rsidTr="00EC0111">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Dice</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Debe Decir</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Justificación</w:t>
            </w:r>
          </w:p>
        </w:tc>
      </w:tr>
      <w:tr w:rsidR="00EC0111" w:rsidRPr="00EC0111" w:rsidTr="00EC0111">
        <w:tc>
          <w:tcPr>
            <w:tcW w:w="4382" w:type="dxa"/>
          </w:tcPr>
          <w:p w:rsidR="00EC0111" w:rsidRDefault="00E33C49" w:rsidP="00E33C49">
            <w:pPr>
              <w:jc w:val="both"/>
              <w:rPr>
                <w:rFonts w:ascii="Calibri" w:hAnsi="Calibri"/>
              </w:rPr>
            </w:pPr>
            <w:r>
              <w:rPr>
                <w:rFonts w:ascii="Calibri" w:hAnsi="Calibri"/>
              </w:rPr>
              <w:t>DISPOSICIONES DE VIGENCIA TEMPORAL DE LA LEY DEL IMPUESTO SOBRE LA RENTA</w:t>
            </w:r>
          </w:p>
          <w:p w:rsidR="00E33C49" w:rsidRDefault="00E33C49" w:rsidP="00E33C49">
            <w:pPr>
              <w:jc w:val="both"/>
              <w:rPr>
                <w:rFonts w:ascii="Calibri" w:hAnsi="Calibri"/>
              </w:rPr>
            </w:pPr>
          </w:p>
          <w:p w:rsidR="00E33C49" w:rsidRDefault="00E33C49" w:rsidP="00E33C49">
            <w:pPr>
              <w:jc w:val="both"/>
              <w:rPr>
                <w:rFonts w:ascii="Calibri" w:hAnsi="Calibri"/>
              </w:rPr>
            </w:pPr>
            <w:r>
              <w:rPr>
                <w:rFonts w:ascii="Calibri" w:hAnsi="Calibri"/>
              </w:rPr>
              <w:t>ARTÍCULO TERCERO.- Para efectos de la Ley del Impuesto sobre la Renta se aplicarán las siguientes disposiciones:</w:t>
            </w:r>
          </w:p>
          <w:p w:rsidR="00E33C49" w:rsidRDefault="00E33C49" w:rsidP="00E33C49">
            <w:pPr>
              <w:jc w:val="both"/>
              <w:rPr>
                <w:rFonts w:ascii="Calibri" w:hAnsi="Calibri"/>
              </w:rPr>
            </w:pPr>
          </w:p>
          <w:p w:rsidR="00E33C49" w:rsidRDefault="00E33C49" w:rsidP="00E33C49">
            <w:pPr>
              <w:jc w:val="both"/>
              <w:rPr>
                <w:rFonts w:ascii="Calibri" w:hAnsi="Calibri"/>
              </w:rPr>
            </w:pPr>
            <w:r>
              <w:rPr>
                <w:rFonts w:ascii="Calibri" w:hAnsi="Calibri"/>
              </w:rPr>
              <w:t>I. a IV. ….</w:t>
            </w:r>
          </w:p>
          <w:p w:rsidR="00EC0111" w:rsidRDefault="00EC0111" w:rsidP="00E33C49">
            <w:pPr>
              <w:jc w:val="both"/>
              <w:rPr>
                <w:rFonts w:ascii="Calibri" w:hAnsi="Calibri"/>
              </w:rPr>
            </w:pPr>
          </w:p>
          <w:p w:rsidR="00EC0111" w:rsidRDefault="00E33C49" w:rsidP="00E33C49">
            <w:pPr>
              <w:jc w:val="both"/>
              <w:rPr>
                <w:rFonts w:ascii="Calibri" w:hAnsi="Calibri"/>
              </w:rPr>
            </w:pPr>
            <w:r>
              <w:rPr>
                <w:rFonts w:ascii="Calibri" w:hAnsi="Calibri"/>
              </w:rPr>
              <w:t>(No hay correlativo)</w:t>
            </w: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EC0111" w:rsidRDefault="00EC0111"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FC6A19" w:rsidRDefault="00FC6A19" w:rsidP="00E33C49">
            <w:pPr>
              <w:jc w:val="both"/>
              <w:rPr>
                <w:rFonts w:ascii="Calibri" w:hAnsi="Calibri"/>
              </w:rPr>
            </w:pPr>
          </w:p>
          <w:p w:rsidR="00FC6A19" w:rsidRDefault="00FC6A19"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r>
              <w:rPr>
                <w:rFonts w:ascii="Calibri" w:hAnsi="Calibri"/>
              </w:rPr>
              <w:t>(No hay correlativo)</w:t>
            </w:r>
          </w:p>
          <w:p w:rsidR="00256886" w:rsidRDefault="00256886" w:rsidP="00E33C49">
            <w:pPr>
              <w:jc w:val="both"/>
              <w:rPr>
                <w:rFonts w:ascii="Calibri" w:hAnsi="Calibri"/>
              </w:rPr>
            </w:pPr>
          </w:p>
          <w:p w:rsidR="00256886" w:rsidRDefault="00256886" w:rsidP="00E33C49">
            <w:pPr>
              <w:jc w:val="both"/>
              <w:rPr>
                <w:rFonts w:ascii="Calibri" w:hAnsi="Calibri"/>
              </w:rPr>
            </w:pPr>
          </w:p>
          <w:p w:rsidR="00256886" w:rsidRDefault="00256886" w:rsidP="00E33C49">
            <w:pPr>
              <w:jc w:val="both"/>
              <w:rPr>
                <w:rFonts w:ascii="Calibri" w:hAnsi="Calibri"/>
              </w:rPr>
            </w:pPr>
          </w:p>
          <w:p w:rsidR="00EC0111" w:rsidRPr="00EC0111" w:rsidRDefault="00EC0111" w:rsidP="00E33C49">
            <w:pPr>
              <w:jc w:val="both"/>
              <w:rPr>
                <w:rFonts w:ascii="Calibri" w:hAnsi="Calibri"/>
              </w:rPr>
            </w:pPr>
          </w:p>
        </w:tc>
        <w:tc>
          <w:tcPr>
            <w:tcW w:w="4382" w:type="dxa"/>
          </w:tcPr>
          <w:p w:rsidR="00E33C49" w:rsidRDefault="00E33C49" w:rsidP="00E33C49">
            <w:pPr>
              <w:jc w:val="both"/>
              <w:rPr>
                <w:rFonts w:ascii="Calibri" w:hAnsi="Calibri"/>
              </w:rPr>
            </w:pPr>
            <w:r>
              <w:rPr>
                <w:rFonts w:ascii="Calibri" w:hAnsi="Calibri"/>
              </w:rPr>
              <w:lastRenderedPageBreak/>
              <w:t>DISPOSICIONES DE VIGENCIA TEMPORAL DE LA LEY DEL IMPUESTO SOBRE LA RENTA</w:t>
            </w:r>
          </w:p>
          <w:p w:rsidR="00E33C49" w:rsidRDefault="00E33C49" w:rsidP="00E33C49">
            <w:pPr>
              <w:jc w:val="both"/>
              <w:rPr>
                <w:rFonts w:ascii="Calibri" w:hAnsi="Calibri"/>
              </w:rPr>
            </w:pPr>
          </w:p>
          <w:p w:rsidR="00E33C49" w:rsidRDefault="00E33C49" w:rsidP="00E33C49">
            <w:pPr>
              <w:jc w:val="both"/>
              <w:rPr>
                <w:rFonts w:ascii="Calibri" w:hAnsi="Calibri"/>
              </w:rPr>
            </w:pPr>
            <w:r>
              <w:rPr>
                <w:rFonts w:ascii="Calibri" w:hAnsi="Calibri"/>
              </w:rPr>
              <w:t>ARTÍCULO TERCERO.- Para efectos de la Ley del Impuesto sobre la Renta se aplicarán las siguientes disposiciones:</w:t>
            </w:r>
          </w:p>
          <w:p w:rsidR="00E33C49" w:rsidRDefault="00E33C49" w:rsidP="00E33C49">
            <w:pPr>
              <w:jc w:val="both"/>
              <w:rPr>
                <w:rFonts w:ascii="Calibri" w:hAnsi="Calibri"/>
              </w:rPr>
            </w:pPr>
          </w:p>
          <w:p w:rsidR="00E33C49" w:rsidRDefault="00E33C49" w:rsidP="00E33C49">
            <w:pPr>
              <w:jc w:val="both"/>
              <w:rPr>
                <w:rFonts w:ascii="Calibri" w:hAnsi="Calibri"/>
              </w:rPr>
            </w:pPr>
            <w:r>
              <w:rPr>
                <w:rFonts w:ascii="Calibri" w:hAnsi="Calibri"/>
              </w:rPr>
              <w:t>I. a IV. ….</w:t>
            </w:r>
          </w:p>
          <w:p w:rsidR="00EC0111" w:rsidRDefault="00EC0111" w:rsidP="00E33C49">
            <w:pPr>
              <w:jc w:val="both"/>
              <w:rPr>
                <w:rFonts w:ascii="Calibri" w:hAnsi="Calibri"/>
              </w:rPr>
            </w:pPr>
          </w:p>
          <w:p w:rsidR="005501EF" w:rsidRPr="005501EF" w:rsidRDefault="00E33C49" w:rsidP="005501EF">
            <w:pPr>
              <w:jc w:val="both"/>
              <w:rPr>
                <w:rFonts w:ascii="Calibri" w:hAnsi="Calibri"/>
              </w:rPr>
            </w:pPr>
            <w:r>
              <w:rPr>
                <w:rFonts w:ascii="Calibri" w:hAnsi="Calibri"/>
              </w:rPr>
              <w:t xml:space="preserve">V. </w:t>
            </w:r>
            <w:r w:rsidR="005501EF" w:rsidRPr="005501EF">
              <w:rPr>
                <w:rFonts w:ascii="Calibri" w:hAnsi="Calibri"/>
              </w:rPr>
              <w:t>Se otorga un estímulo fiscal a los contribuyentes del Capítulo VIII del Título Segundo de la Ley del Impuesto sobre la Renta, consistente en efectuar la deducción</w:t>
            </w:r>
            <w:r w:rsidR="00256886">
              <w:rPr>
                <w:rFonts w:ascii="Calibri" w:hAnsi="Calibri"/>
              </w:rPr>
              <w:t xml:space="preserve">, en el ejercicio que corresponda, </w:t>
            </w:r>
            <w:r w:rsidR="005501EF" w:rsidRPr="005501EF">
              <w:rPr>
                <w:rFonts w:ascii="Calibri" w:hAnsi="Calibri"/>
              </w:rPr>
              <w:t xml:space="preserve">del costo de adquisición de terrenos que se adquieran durante los ejercicios </w:t>
            </w:r>
            <w:r w:rsidR="007A62BB">
              <w:rPr>
                <w:rFonts w:ascii="Calibri" w:hAnsi="Calibri"/>
              </w:rPr>
              <w:t xml:space="preserve">2015, </w:t>
            </w:r>
            <w:r w:rsidR="005501EF" w:rsidRPr="005501EF">
              <w:rPr>
                <w:rFonts w:ascii="Calibri" w:hAnsi="Calibri"/>
              </w:rPr>
              <w:t>2016 y 2017, siempre que cumplan con lo siguiente:</w:t>
            </w:r>
          </w:p>
          <w:p w:rsidR="005501EF" w:rsidRPr="005501EF" w:rsidRDefault="005501EF" w:rsidP="005501EF">
            <w:pPr>
              <w:jc w:val="both"/>
              <w:rPr>
                <w:rFonts w:ascii="Calibri" w:hAnsi="Calibri"/>
              </w:rPr>
            </w:pPr>
          </w:p>
          <w:p w:rsidR="005501EF" w:rsidRPr="005501EF" w:rsidRDefault="005501EF" w:rsidP="005501EF">
            <w:pPr>
              <w:jc w:val="both"/>
              <w:rPr>
                <w:rFonts w:ascii="Calibri" w:hAnsi="Calibri"/>
              </w:rPr>
            </w:pPr>
            <w:r w:rsidRPr="005501EF">
              <w:rPr>
                <w:rFonts w:ascii="Calibri" w:hAnsi="Calibri"/>
              </w:rPr>
              <w:t>a) Que los terrenos sean destinados exclusivamente a actividades agrícolas, ganaderas o silvícolas.</w:t>
            </w:r>
          </w:p>
          <w:p w:rsidR="005501EF" w:rsidRPr="005501EF" w:rsidRDefault="005501EF" w:rsidP="005501EF">
            <w:pPr>
              <w:jc w:val="both"/>
              <w:rPr>
                <w:rFonts w:ascii="Calibri" w:hAnsi="Calibri"/>
              </w:rPr>
            </w:pPr>
          </w:p>
          <w:p w:rsidR="005501EF" w:rsidRPr="005501EF" w:rsidRDefault="005501EF" w:rsidP="005501EF">
            <w:pPr>
              <w:jc w:val="both"/>
              <w:rPr>
                <w:rFonts w:ascii="Calibri" w:hAnsi="Calibri"/>
              </w:rPr>
            </w:pPr>
            <w:r w:rsidRPr="005501EF">
              <w:rPr>
                <w:rFonts w:ascii="Calibri" w:hAnsi="Calibri"/>
              </w:rPr>
              <w:t xml:space="preserve">b) Que los terrenos no sean enajenados </w:t>
            </w:r>
            <w:r w:rsidRPr="005501EF">
              <w:rPr>
                <w:rFonts w:ascii="Calibri" w:hAnsi="Calibri"/>
              </w:rPr>
              <w:lastRenderedPageBreak/>
              <w:t>durante los cinco ejercicios inmediatos posteriores al que fue adquirido.</w:t>
            </w:r>
          </w:p>
          <w:p w:rsidR="005501EF" w:rsidRPr="005501EF" w:rsidRDefault="005501EF" w:rsidP="005501EF">
            <w:pPr>
              <w:jc w:val="both"/>
              <w:rPr>
                <w:rFonts w:ascii="Calibri" w:hAnsi="Calibri"/>
              </w:rPr>
            </w:pPr>
          </w:p>
          <w:p w:rsidR="00E33C49" w:rsidRDefault="005501EF" w:rsidP="005501EF">
            <w:pPr>
              <w:jc w:val="both"/>
              <w:rPr>
                <w:rFonts w:ascii="Calibri" w:hAnsi="Calibri"/>
              </w:rPr>
            </w:pPr>
            <w:r w:rsidRPr="005501EF">
              <w:rPr>
                <w:rFonts w:ascii="Calibri" w:hAnsi="Calibri"/>
              </w:rPr>
              <w:t>Cuando la enajenación del terreno se realice antes de cumplir con el periodo señalado en el inciso b) de esta fracción, el monto de la deducción se considerará como un ingreso acumulable y el contribuyente deberá cubrir</w:t>
            </w:r>
            <w:r w:rsidR="00256886">
              <w:rPr>
                <w:rFonts w:ascii="Calibri" w:hAnsi="Calibri"/>
              </w:rPr>
              <w:t>,</w:t>
            </w:r>
            <w:r w:rsidRPr="005501EF">
              <w:rPr>
                <w:rFonts w:ascii="Calibri" w:hAnsi="Calibri"/>
              </w:rPr>
              <w:t xml:space="preserve"> sobre la cantidad respectiva</w:t>
            </w:r>
            <w:r w:rsidR="00256886">
              <w:rPr>
                <w:rFonts w:ascii="Calibri" w:hAnsi="Calibri"/>
              </w:rPr>
              <w:t>,</w:t>
            </w:r>
            <w:r w:rsidRPr="005501EF">
              <w:rPr>
                <w:rFonts w:ascii="Calibri" w:hAnsi="Calibri"/>
              </w:rPr>
              <w:t xml:space="preserve"> el impuesto a la tasa establecida en el artículo 9 de la Ley del Impuesto sobre la Renta en un plazo que no podrá exceder de 30 días a partir de que se realice la operación. En este caso el costo de adquisición del terreno se actualizará desde la f</w:t>
            </w:r>
            <w:r w:rsidR="00256886">
              <w:rPr>
                <w:rFonts w:ascii="Calibri" w:hAnsi="Calibri"/>
              </w:rPr>
              <w:t>echa de adquisición del terreno</w:t>
            </w:r>
            <w:r w:rsidRPr="005501EF">
              <w:rPr>
                <w:rFonts w:ascii="Calibri" w:hAnsi="Calibri"/>
              </w:rPr>
              <w:t xml:space="preserve"> hasta la fecha en que se realice la enajenación.</w:t>
            </w:r>
          </w:p>
          <w:p w:rsidR="00E33C49" w:rsidRDefault="00E33C49" w:rsidP="00E33C49">
            <w:pPr>
              <w:jc w:val="both"/>
              <w:rPr>
                <w:rFonts w:ascii="Calibri" w:hAnsi="Calibri"/>
              </w:rPr>
            </w:pPr>
          </w:p>
          <w:p w:rsidR="00FC6A19" w:rsidRDefault="00FC6A19" w:rsidP="00E33C49">
            <w:pPr>
              <w:jc w:val="both"/>
              <w:rPr>
                <w:rFonts w:ascii="Calibri" w:hAnsi="Calibri"/>
              </w:rPr>
            </w:pPr>
          </w:p>
          <w:p w:rsidR="00FC6A19" w:rsidRDefault="00256886" w:rsidP="00E33C49">
            <w:pPr>
              <w:jc w:val="both"/>
              <w:rPr>
                <w:rFonts w:ascii="Calibri" w:hAnsi="Calibri"/>
              </w:rPr>
            </w:pPr>
            <w:r>
              <w:rPr>
                <w:rFonts w:ascii="Calibri" w:hAnsi="Calibri"/>
              </w:rPr>
              <w:t xml:space="preserve">VI. </w:t>
            </w:r>
            <w:r w:rsidRPr="00256886">
              <w:rPr>
                <w:rFonts w:ascii="Calibri" w:hAnsi="Calibri"/>
              </w:rPr>
              <w:t xml:space="preserve">Se otorga un estímulo fiscal a los contribuyentes del Capítulo VIII del Título Segundo de la Ley del Impuesto sobre la Renta, consistente en efectuar la deducción, en el ejercicio que corresponda, del costo de </w:t>
            </w:r>
            <w:r w:rsidR="00FC6A19">
              <w:rPr>
                <w:rFonts w:ascii="Calibri" w:hAnsi="Calibri"/>
              </w:rPr>
              <w:t>la inversión que se realice para la construcción</w:t>
            </w:r>
            <w:r w:rsidR="008B54C1">
              <w:rPr>
                <w:rFonts w:ascii="Calibri" w:hAnsi="Calibri"/>
              </w:rPr>
              <w:t>, mantenimiento y mejoramiento</w:t>
            </w:r>
            <w:r w:rsidR="00FC6A19">
              <w:rPr>
                <w:rFonts w:ascii="Calibri" w:hAnsi="Calibri"/>
              </w:rPr>
              <w:t xml:space="preserve"> de:</w:t>
            </w:r>
          </w:p>
          <w:p w:rsidR="00FC6A19" w:rsidRDefault="00FC6A19" w:rsidP="00E33C49">
            <w:pPr>
              <w:jc w:val="both"/>
              <w:rPr>
                <w:rFonts w:ascii="Calibri" w:hAnsi="Calibri"/>
              </w:rPr>
            </w:pPr>
          </w:p>
          <w:p w:rsidR="00FC6A19" w:rsidRDefault="00FC6A19" w:rsidP="00E33C49">
            <w:pPr>
              <w:jc w:val="both"/>
              <w:rPr>
                <w:rFonts w:ascii="Calibri" w:hAnsi="Calibri"/>
              </w:rPr>
            </w:pPr>
            <w:r>
              <w:rPr>
                <w:rFonts w:ascii="Calibri" w:hAnsi="Calibri"/>
              </w:rPr>
              <w:t xml:space="preserve">a) Habitaciones para el alojamiento de </w:t>
            </w:r>
            <w:r>
              <w:rPr>
                <w:rFonts w:ascii="Calibri" w:hAnsi="Calibri"/>
              </w:rPr>
              <w:lastRenderedPageBreak/>
              <w:t>trabajadores eventuales y estacionales del campo y sus familias</w:t>
            </w:r>
            <w:r w:rsidR="00FC745F">
              <w:rPr>
                <w:rFonts w:ascii="Calibri" w:hAnsi="Calibri"/>
              </w:rPr>
              <w:t>.</w:t>
            </w:r>
          </w:p>
          <w:p w:rsidR="00FC6A19" w:rsidRDefault="00FC6A19" w:rsidP="00E33C49">
            <w:pPr>
              <w:jc w:val="both"/>
              <w:rPr>
                <w:rFonts w:ascii="Calibri" w:hAnsi="Calibri"/>
              </w:rPr>
            </w:pPr>
          </w:p>
          <w:p w:rsidR="00FC745F" w:rsidRDefault="00FC745F" w:rsidP="00E33C49">
            <w:pPr>
              <w:jc w:val="both"/>
              <w:rPr>
                <w:rFonts w:ascii="Calibri" w:hAnsi="Calibri"/>
              </w:rPr>
            </w:pPr>
            <w:r>
              <w:rPr>
                <w:rFonts w:ascii="Calibri" w:hAnsi="Calibri"/>
              </w:rPr>
              <w:t xml:space="preserve">b) Instalaciones sanitarias para el aseo e higiene de </w:t>
            </w:r>
            <w:r w:rsidRPr="00FC745F">
              <w:rPr>
                <w:rFonts w:ascii="Calibri" w:hAnsi="Calibri"/>
              </w:rPr>
              <w:t>trabajadores eventuales y estacionales del campo y sus familias.</w:t>
            </w:r>
          </w:p>
          <w:p w:rsidR="00FC745F" w:rsidRDefault="00FC745F" w:rsidP="00E33C49">
            <w:pPr>
              <w:jc w:val="both"/>
              <w:rPr>
                <w:rFonts w:ascii="Calibri" w:hAnsi="Calibri"/>
              </w:rPr>
            </w:pPr>
          </w:p>
          <w:p w:rsidR="00FC6A19" w:rsidRDefault="00FC745F" w:rsidP="00E33C49">
            <w:pPr>
              <w:jc w:val="both"/>
              <w:rPr>
                <w:rFonts w:ascii="Calibri" w:hAnsi="Calibri"/>
              </w:rPr>
            </w:pPr>
            <w:r>
              <w:rPr>
                <w:rFonts w:ascii="Calibri" w:hAnsi="Calibri"/>
              </w:rPr>
              <w:t>c</w:t>
            </w:r>
            <w:r w:rsidR="00FC6A19">
              <w:rPr>
                <w:rFonts w:ascii="Calibri" w:hAnsi="Calibri"/>
              </w:rPr>
              <w:t xml:space="preserve">) </w:t>
            </w:r>
            <w:r w:rsidR="005B5537">
              <w:rPr>
                <w:rFonts w:ascii="Calibri" w:hAnsi="Calibri"/>
              </w:rPr>
              <w:t>Guarderías, estancias infantiles</w:t>
            </w:r>
            <w:r w:rsidR="006050CB">
              <w:rPr>
                <w:rFonts w:ascii="Calibri" w:hAnsi="Calibri"/>
              </w:rPr>
              <w:t>, escuelas y aulas escolares</w:t>
            </w:r>
            <w:r w:rsidR="005B5537">
              <w:rPr>
                <w:rFonts w:ascii="Calibri" w:hAnsi="Calibri"/>
              </w:rPr>
              <w:t xml:space="preserve"> </w:t>
            </w:r>
            <w:r w:rsidR="006050CB">
              <w:rPr>
                <w:rFonts w:ascii="Calibri" w:hAnsi="Calibri"/>
              </w:rPr>
              <w:t>que den servicio a los descendientes de trabajadores eventuales y estacionales del campo.</w:t>
            </w:r>
          </w:p>
          <w:p w:rsidR="006050CB" w:rsidRDefault="006050CB" w:rsidP="00E33C49">
            <w:pPr>
              <w:jc w:val="both"/>
              <w:rPr>
                <w:rFonts w:ascii="Calibri" w:hAnsi="Calibri"/>
              </w:rPr>
            </w:pPr>
          </w:p>
          <w:p w:rsidR="006050CB" w:rsidRDefault="00FC745F" w:rsidP="00E33C49">
            <w:pPr>
              <w:jc w:val="both"/>
              <w:rPr>
                <w:rFonts w:ascii="Calibri" w:hAnsi="Calibri"/>
              </w:rPr>
            </w:pPr>
            <w:r>
              <w:rPr>
                <w:rFonts w:ascii="Calibri" w:hAnsi="Calibri"/>
              </w:rPr>
              <w:t>d</w:t>
            </w:r>
            <w:r w:rsidR="006050CB">
              <w:rPr>
                <w:rFonts w:ascii="Calibri" w:hAnsi="Calibri"/>
              </w:rPr>
              <w:t xml:space="preserve">) Consultorios, clínicas e instalaciones que se utilicen para prestar servicios de salud a los </w:t>
            </w:r>
            <w:r w:rsidR="006050CB" w:rsidRPr="006050CB">
              <w:rPr>
                <w:rFonts w:ascii="Calibri" w:hAnsi="Calibri"/>
              </w:rPr>
              <w:t>trabajadores eventuales y estacionales del campo</w:t>
            </w:r>
            <w:r w:rsidR="006050CB">
              <w:rPr>
                <w:rFonts w:ascii="Calibri" w:hAnsi="Calibri"/>
              </w:rPr>
              <w:t xml:space="preserve"> y sus familias.</w:t>
            </w:r>
          </w:p>
          <w:p w:rsidR="007A62BB" w:rsidRDefault="007A62BB" w:rsidP="00E33C49">
            <w:pPr>
              <w:jc w:val="both"/>
              <w:rPr>
                <w:rFonts w:ascii="Calibri" w:hAnsi="Calibri"/>
              </w:rPr>
            </w:pPr>
          </w:p>
          <w:p w:rsidR="003E70CA" w:rsidRDefault="00FC745F" w:rsidP="003E70CA">
            <w:pPr>
              <w:jc w:val="both"/>
              <w:rPr>
                <w:rFonts w:ascii="Calibri" w:hAnsi="Calibri"/>
              </w:rPr>
            </w:pPr>
            <w:r>
              <w:rPr>
                <w:rFonts w:ascii="Calibri" w:hAnsi="Calibri"/>
              </w:rPr>
              <w:t>e</w:t>
            </w:r>
            <w:r w:rsidR="007A62BB">
              <w:rPr>
                <w:rFonts w:ascii="Calibri" w:hAnsi="Calibri"/>
              </w:rPr>
              <w:t xml:space="preserve">) Instalaciones para el esparcimiento </w:t>
            </w:r>
            <w:r>
              <w:rPr>
                <w:rFonts w:ascii="Calibri" w:hAnsi="Calibri"/>
              </w:rPr>
              <w:t xml:space="preserve">y recreación </w:t>
            </w:r>
            <w:r w:rsidR="007A62BB">
              <w:rPr>
                <w:rFonts w:ascii="Calibri" w:hAnsi="Calibri"/>
              </w:rPr>
              <w:t xml:space="preserve">de </w:t>
            </w:r>
            <w:r w:rsidR="003E70CA">
              <w:rPr>
                <w:rFonts w:ascii="Calibri" w:hAnsi="Calibri"/>
              </w:rPr>
              <w:t>trabajadores eventuales y estacionales del campo y sus familias.</w:t>
            </w:r>
          </w:p>
          <w:p w:rsidR="006050CB" w:rsidRDefault="006050CB" w:rsidP="00E33C49">
            <w:pPr>
              <w:jc w:val="both"/>
              <w:rPr>
                <w:rFonts w:ascii="Calibri" w:hAnsi="Calibri"/>
              </w:rPr>
            </w:pPr>
          </w:p>
          <w:p w:rsidR="00E33C49" w:rsidRDefault="006050CB" w:rsidP="00E33C49">
            <w:pPr>
              <w:jc w:val="both"/>
              <w:rPr>
                <w:rFonts w:ascii="Calibri" w:hAnsi="Calibri"/>
              </w:rPr>
            </w:pPr>
            <w:r>
              <w:rPr>
                <w:rFonts w:ascii="Calibri" w:hAnsi="Calibri"/>
              </w:rPr>
              <w:t xml:space="preserve">El </w:t>
            </w:r>
            <w:r w:rsidR="00A015FB">
              <w:rPr>
                <w:rFonts w:ascii="Calibri" w:hAnsi="Calibri"/>
              </w:rPr>
              <w:t>estímulo a que se refiere la presente fracción, aplicará para las inversiones que se realicen durante los ejercicios</w:t>
            </w:r>
            <w:r w:rsidR="007A62BB">
              <w:rPr>
                <w:rFonts w:ascii="Calibri" w:hAnsi="Calibri"/>
              </w:rPr>
              <w:t xml:space="preserve"> 2015,</w:t>
            </w:r>
            <w:r w:rsidR="00256886" w:rsidRPr="00256886">
              <w:rPr>
                <w:rFonts w:ascii="Calibri" w:hAnsi="Calibri"/>
              </w:rPr>
              <w:t xml:space="preserve"> 2016 y 2017</w:t>
            </w:r>
            <w:r w:rsidR="00A015FB">
              <w:rPr>
                <w:rFonts w:ascii="Calibri" w:hAnsi="Calibri"/>
              </w:rPr>
              <w:t>.</w:t>
            </w:r>
          </w:p>
          <w:p w:rsidR="00E33C49" w:rsidRDefault="00E33C49" w:rsidP="00E33C49">
            <w:pPr>
              <w:jc w:val="both"/>
              <w:rPr>
                <w:rFonts w:ascii="Calibri" w:hAnsi="Calibri"/>
              </w:rPr>
            </w:pPr>
          </w:p>
          <w:p w:rsidR="00E33C49" w:rsidRPr="00EC0111" w:rsidRDefault="00E33C49" w:rsidP="00E33C49">
            <w:pPr>
              <w:jc w:val="both"/>
              <w:rPr>
                <w:rFonts w:ascii="Calibri" w:hAnsi="Calibri"/>
              </w:rPr>
            </w:pPr>
          </w:p>
        </w:tc>
        <w:tc>
          <w:tcPr>
            <w:tcW w:w="4382" w:type="dxa"/>
          </w:tcPr>
          <w:p w:rsidR="00EC0111" w:rsidRDefault="00023FE9" w:rsidP="00023FE9">
            <w:pPr>
              <w:jc w:val="both"/>
              <w:rPr>
                <w:rFonts w:ascii="Calibri" w:hAnsi="Calibri"/>
              </w:rPr>
            </w:pPr>
            <w:r>
              <w:rPr>
                <w:rFonts w:ascii="Calibri" w:hAnsi="Calibri"/>
              </w:rPr>
              <w:lastRenderedPageBreak/>
              <w:t xml:space="preserve">Se propone establecer un estímulo fiscal </w:t>
            </w:r>
            <w:bookmarkStart w:id="0" w:name="_GoBack"/>
            <w:bookmarkEnd w:id="0"/>
            <w:r>
              <w:rPr>
                <w:rFonts w:ascii="Calibri" w:hAnsi="Calibri"/>
              </w:rPr>
              <w:t xml:space="preserve">consistente en permitir la deducción de la inversión que se realice para la adquisición de terrenos destinados a la actividad agrícola, ganadera y silvícola. </w:t>
            </w:r>
          </w:p>
          <w:p w:rsidR="00291466" w:rsidRDefault="00291466" w:rsidP="00023FE9">
            <w:pPr>
              <w:jc w:val="both"/>
              <w:rPr>
                <w:rFonts w:ascii="Calibri" w:hAnsi="Calibri"/>
              </w:rPr>
            </w:pPr>
          </w:p>
          <w:p w:rsidR="0032608E" w:rsidRDefault="0032608E" w:rsidP="00023FE9">
            <w:pPr>
              <w:jc w:val="both"/>
              <w:rPr>
                <w:rFonts w:ascii="Calibri" w:hAnsi="Calibri"/>
              </w:rPr>
            </w:pPr>
            <w:r>
              <w:rPr>
                <w:rFonts w:ascii="Calibri" w:hAnsi="Calibri"/>
              </w:rPr>
              <w:t>Cabe mencionar que, tratándose de la actividad primaria, el principal insumo es la tierra, por lo que a</w:t>
            </w:r>
            <w:r w:rsidR="006E7366">
              <w:rPr>
                <w:rFonts w:ascii="Calibri" w:hAnsi="Calibri"/>
              </w:rPr>
              <w:t xml:space="preserve">l no haberse permitido </w:t>
            </w:r>
            <w:r>
              <w:rPr>
                <w:rFonts w:ascii="Calibri" w:hAnsi="Calibri"/>
              </w:rPr>
              <w:t>su</w:t>
            </w:r>
            <w:r w:rsidR="006E7366">
              <w:rPr>
                <w:rFonts w:ascii="Calibri" w:hAnsi="Calibri"/>
              </w:rPr>
              <w:t xml:space="preserve"> deducción durante la discusión y aprobación de la nueva Ley del Impuesto sobr</w:t>
            </w:r>
            <w:r>
              <w:rPr>
                <w:rFonts w:ascii="Calibri" w:hAnsi="Calibri"/>
              </w:rPr>
              <w:t>e la Renta, se dejó en un claro estado de inequidad al sector agropecuario frente a otros sectores, los cuales sí pueden deducir la totalidad de sus insumos.</w:t>
            </w:r>
          </w:p>
          <w:p w:rsidR="0032608E" w:rsidRDefault="0032608E" w:rsidP="00023FE9">
            <w:pPr>
              <w:jc w:val="both"/>
              <w:rPr>
                <w:rFonts w:ascii="Calibri" w:hAnsi="Calibri"/>
              </w:rPr>
            </w:pPr>
          </w:p>
          <w:p w:rsidR="00023FE9" w:rsidRDefault="0032608E" w:rsidP="00023FE9">
            <w:pPr>
              <w:jc w:val="both"/>
              <w:rPr>
                <w:rFonts w:ascii="Calibri" w:hAnsi="Calibri"/>
              </w:rPr>
            </w:pPr>
            <w:r>
              <w:rPr>
                <w:rFonts w:ascii="Calibri" w:hAnsi="Calibri"/>
              </w:rPr>
              <w:t>Esta situación ha afectado y desalentado la realización de nuevas inversiones en el sector.</w:t>
            </w: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B94488" w:rsidRDefault="0032608E" w:rsidP="00023FE9">
            <w:pPr>
              <w:jc w:val="both"/>
              <w:rPr>
                <w:rFonts w:ascii="Calibri" w:hAnsi="Calibri"/>
              </w:rPr>
            </w:pPr>
            <w:r>
              <w:rPr>
                <w:rFonts w:ascii="Calibri" w:hAnsi="Calibri"/>
              </w:rPr>
              <w:t xml:space="preserve">Los trabajadores eventuales y estacionales del campo, también conocidos como jornaleros, son aquellos </w:t>
            </w:r>
            <w:r w:rsidRPr="0032608E">
              <w:rPr>
                <w:rFonts w:ascii="Calibri" w:hAnsi="Calibri"/>
              </w:rPr>
              <w:t xml:space="preserve">que realizan </w:t>
            </w:r>
            <w:r w:rsidR="00B94488">
              <w:rPr>
                <w:rFonts w:ascii="Calibri" w:hAnsi="Calibri"/>
              </w:rPr>
              <w:t>necesarias para la producción y que, debido a los ciclos agrícolas laboran 27 semanas al año.</w:t>
            </w:r>
          </w:p>
          <w:p w:rsidR="00B94488" w:rsidRDefault="00B94488" w:rsidP="00023FE9">
            <w:pPr>
              <w:jc w:val="both"/>
              <w:rPr>
                <w:rFonts w:ascii="Calibri" w:hAnsi="Calibri"/>
              </w:rPr>
            </w:pPr>
          </w:p>
          <w:p w:rsidR="00B94488" w:rsidRDefault="00B94488" w:rsidP="00023FE9">
            <w:pPr>
              <w:jc w:val="both"/>
              <w:rPr>
                <w:rFonts w:ascii="Calibri" w:hAnsi="Calibri"/>
              </w:rPr>
            </w:pPr>
            <w:r>
              <w:rPr>
                <w:rFonts w:ascii="Calibri" w:hAnsi="Calibri"/>
              </w:rPr>
              <w:t xml:space="preserve">Cabe mencionar que se trata de trabajadores migrantes que se desplazan de sus lugares de origen a los Estados en </w:t>
            </w:r>
            <w:r>
              <w:rPr>
                <w:rFonts w:ascii="Calibri" w:hAnsi="Calibri"/>
              </w:rPr>
              <w:lastRenderedPageBreak/>
              <w:t>los que se concentra la producción agrícola.</w:t>
            </w:r>
          </w:p>
          <w:p w:rsidR="00B94488" w:rsidRDefault="00B94488" w:rsidP="00023FE9">
            <w:pPr>
              <w:jc w:val="both"/>
              <w:rPr>
                <w:rFonts w:ascii="Calibri" w:hAnsi="Calibri"/>
              </w:rPr>
            </w:pPr>
          </w:p>
          <w:p w:rsidR="00D6637A" w:rsidRDefault="00D6637A" w:rsidP="00023FE9">
            <w:pPr>
              <w:jc w:val="both"/>
              <w:rPr>
                <w:rFonts w:ascii="Calibri" w:hAnsi="Calibri"/>
              </w:rPr>
            </w:pPr>
            <w:r>
              <w:rPr>
                <w:rFonts w:ascii="Calibri" w:hAnsi="Calibri"/>
              </w:rPr>
              <w:t xml:space="preserve">Estos lugares, al encontrarse en el ámbito rural, </w:t>
            </w:r>
            <w:r w:rsidRPr="00D6637A">
              <w:rPr>
                <w:rFonts w:ascii="Calibri" w:hAnsi="Calibri"/>
              </w:rPr>
              <w:t xml:space="preserve">carecen de infraestructura de unidades médicas y de guarderías </w:t>
            </w:r>
            <w:r>
              <w:rPr>
                <w:rFonts w:ascii="Calibri" w:hAnsi="Calibri"/>
              </w:rPr>
              <w:t xml:space="preserve">por parte </w:t>
            </w:r>
            <w:r w:rsidRPr="00D6637A">
              <w:rPr>
                <w:rFonts w:ascii="Calibri" w:hAnsi="Calibri"/>
              </w:rPr>
              <w:t xml:space="preserve">del IMSS, </w:t>
            </w:r>
            <w:r>
              <w:rPr>
                <w:rFonts w:ascii="Calibri" w:hAnsi="Calibri"/>
              </w:rPr>
              <w:t xml:space="preserve">es decir, no existe la cobertura suficiente para darles servicios. </w:t>
            </w:r>
          </w:p>
          <w:p w:rsidR="00D6637A" w:rsidRDefault="00D6637A" w:rsidP="00023FE9">
            <w:pPr>
              <w:jc w:val="both"/>
              <w:rPr>
                <w:rFonts w:ascii="Calibri" w:hAnsi="Calibri"/>
              </w:rPr>
            </w:pPr>
          </w:p>
          <w:p w:rsidR="00D6637A" w:rsidRDefault="00D6637A" w:rsidP="00023FE9">
            <w:pPr>
              <w:jc w:val="both"/>
              <w:rPr>
                <w:rFonts w:ascii="Calibri" w:hAnsi="Calibri"/>
              </w:rPr>
            </w:pPr>
            <w:r>
              <w:rPr>
                <w:rFonts w:ascii="Calibri" w:hAnsi="Calibri"/>
              </w:rPr>
              <w:t>Por ello, se propone permitir que las inversiones que realicen los patrones para satisfacer las necesidades de alojamiento, salud y cuidado infantil de este sector vulnerable de la población, puedan ser deducidas a fin de fomentar el mejoramiento de sus condiciones de vida.</w:t>
            </w: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Default="00291466" w:rsidP="00023FE9">
            <w:pPr>
              <w:jc w:val="both"/>
              <w:rPr>
                <w:rFonts w:ascii="Calibri" w:hAnsi="Calibri"/>
              </w:rPr>
            </w:pPr>
          </w:p>
          <w:p w:rsidR="00291466" w:rsidRPr="00EC0111" w:rsidRDefault="00291466" w:rsidP="00023FE9">
            <w:pPr>
              <w:jc w:val="both"/>
              <w:rPr>
                <w:rFonts w:ascii="Calibri" w:hAnsi="Calibri"/>
              </w:rPr>
            </w:pPr>
          </w:p>
        </w:tc>
      </w:tr>
    </w:tbl>
    <w:p w:rsidR="00EC0111" w:rsidRPr="00EC0111" w:rsidRDefault="00EC0111">
      <w:pPr>
        <w:rPr>
          <w:rFonts w:ascii="Calibri" w:hAnsi="Calibri"/>
        </w:rPr>
      </w:pPr>
    </w:p>
    <w:sectPr w:rsidR="00EC0111" w:rsidRPr="00EC0111" w:rsidSect="00EC0111">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05" w:rsidRDefault="00F75705" w:rsidP="00AA30CF">
      <w:r>
        <w:separator/>
      </w:r>
    </w:p>
  </w:endnote>
  <w:endnote w:type="continuationSeparator" w:id="0">
    <w:p w:rsidR="00F75705" w:rsidRDefault="00F75705" w:rsidP="00AA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99154"/>
      <w:docPartObj>
        <w:docPartGallery w:val="Page Numbers (Bottom of Page)"/>
        <w:docPartUnique/>
      </w:docPartObj>
    </w:sdtPr>
    <w:sdtEndPr>
      <w:rPr>
        <w:rFonts w:ascii="Arial Narrow" w:hAnsi="Arial Narrow"/>
        <w:sz w:val="20"/>
        <w:szCs w:val="20"/>
      </w:rPr>
    </w:sdtEndPr>
    <w:sdtContent>
      <w:p w:rsidR="00AA30CF" w:rsidRPr="00AA30CF" w:rsidRDefault="00AA30CF">
        <w:pPr>
          <w:pStyle w:val="Piedepgina"/>
          <w:jc w:val="center"/>
          <w:rPr>
            <w:rFonts w:ascii="Arial Narrow" w:hAnsi="Arial Narrow"/>
            <w:sz w:val="20"/>
            <w:szCs w:val="20"/>
          </w:rPr>
        </w:pPr>
        <w:r w:rsidRPr="00AA30CF">
          <w:rPr>
            <w:rFonts w:ascii="Arial Narrow" w:hAnsi="Arial Narrow"/>
            <w:sz w:val="20"/>
            <w:szCs w:val="20"/>
          </w:rPr>
          <w:fldChar w:fldCharType="begin"/>
        </w:r>
        <w:r w:rsidRPr="00AA30CF">
          <w:rPr>
            <w:rFonts w:ascii="Arial Narrow" w:hAnsi="Arial Narrow"/>
            <w:sz w:val="20"/>
            <w:szCs w:val="20"/>
          </w:rPr>
          <w:instrText>PAGE   \* MERGEFORMAT</w:instrText>
        </w:r>
        <w:r w:rsidRPr="00AA30CF">
          <w:rPr>
            <w:rFonts w:ascii="Arial Narrow" w:hAnsi="Arial Narrow"/>
            <w:sz w:val="20"/>
            <w:szCs w:val="20"/>
          </w:rPr>
          <w:fldChar w:fldCharType="separate"/>
        </w:r>
        <w:r w:rsidR="003E70CA" w:rsidRPr="003E70CA">
          <w:rPr>
            <w:rFonts w:ascii="Arial Narrow" w:hAnsi="Arial Narrow"/>
            <w:noProof/>
            <w:sz w:val="20"/>
            <w:szCs w:val="20"/>
            <w:lang w:val="es-ES"/>
          </w:rPr>
          <w:t>1</w:t>
        </w:r>
        <w:r w:rsidRPr="00AA30CF">
          <w:rPr>
            <w:rFonts w:ascii="Arial Narrow" w:hAnsi="Arial Narro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05" w:rsidRDefault="00F75705" w:rsidP="00AA30CF">
      <w:r>
        <w:separator/>
      </w:r>
    </w:p>
  </w:footnote>
  <w:footnote w:type="continuationSeparator" w:id="0">
    <w:p w:rsidR="00F75705" w:rsidRDefault="00F75705" w:rsidP="00AA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11"/>
    <w:rsid w:val="00023FE9"/>
    <w:rsid w:val="00206381"/>
    <w:rsid w:val="00256886"/>
    <w:rsid w:val="00291466"/>
    <w:rsid w:val="0032608E"/>
    <w:rsid w:val="003D0859"/>
    <w:rsid w:val="003E70CA"/>
    <w:rsid w:val="005501EF"/>
    <w:rsid w:val="005B5537"/>
    <w:rsid w:val="006050CB"/>
    <w:rsid w:val="006E7366"/>
    <w:rsid w:val="007A62BB"/>
    <w:rsid w:val="008B54C1"/>
    <w:rsid w:val="008E79D5"/>
    <w:rsid w:val="00A015FB"/>
    <w:rsid w:val="00AA30CF"/>
    <w:rsid w:val="00AB00D7"/>
    <w:rsid w:val="00B94488"/>
    <w:rsid w:val="00D6637A"/>
    <w:rsid w:val="00E33C49"/>
    <w:rsid w:val="00EC0111"/>
    <w:rsid w:val="00F75705"/>
    <w:rsid w:val="00FC2C1F"/>
    <w:rsid w:val="00FC6A19"/>
    <w:rsid w:val="00FC74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3C49"/>
    <w:pPr>
      <w:ind w:left="720"/>
      <w:contextualSpacing/>
    </w:pPr>
  </w:style>
  <w:style w:type="paragraph" w:styleId="Encabezado">
    <w:name w:val="header"/>
    <w:basedOn w:val="Normal"/>
    <w:link w:val="EncabezadoCar"/>
    <w:uiPriority w:val="99"/>
    <w:unhideWhenUsed/>
    <w:rsid w:val="00AA30CF"/>
    <w:pPr>
      <w:tabs>
        <w:tab w:val="center" w:pos="4419"/>
        <w:tab w:val="right" w:pos="8838"/>
      </w:tabs>
    </w:pPr>
  </w:style>
  <w:style w:type="character" w:customStyle="1" w:styleId="EncabezadoCar">
    <w:name w:val="Encabezado Car"/>
    <w:basedOn w:val="Fuentedeprrafopredeter"/>
    <w:link w:val="Encabezado"/>
    <w:uiPriority w:val="99"/>
    <w:rsid w:val="00AA30CF"/>
  </w:style>
  <w:style w:type="paragraph" w:styleId="Piedepgina">
    <w:name w:val="footer"/>
    <w:basedOn w:val="Normal"/>
    <w:link w:val="PiedepginaCar"/>
    <w:uiPriority w:val="99"/>
    <w:unhideWhenUsed/>
    <w:rsid w:val="00AA30CF"/>
    <w:pPr>
      <w:tabs>
        <w:tab w:val="center" w:pos="4419"/>
        <w:tab w:val="right" w:pos="8838"/>
      </w:tabs>
    </w:pPr>
  </w:style>
  <w:style w:type="character" w:customStyle="1" w:styleId="PiedepginaCar">
    <w:name w:val="Pie de página Car"/>
    <w:basedOn w:val="Fuentedeprrafopredeter"/>
    <w:link w:val="Piedepgina"/>
    <w:uiPriority w:val="99"/>
    <w:rsid w:val="00AA3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3C49"/>
    <w:pPr>
      <w:ind w:left="720"/>
      <w:contextualSpacing/>
    </w:pPr>
  </w:style>
  <w:style w:type="paragraph" w:styleId="Encabezado">
    <w:name w:val="header"/>
    <w:basedOn w:val="Normal"/>
    <w:link w:val="EncabezadoCar"/>
    <w:uiPriority w:val="99"/>
    <w:unhideWhenUsed/>
    <w:rsid w:val="00AA30CF"/>
    <w:pPr>
      <w:tabs>
        <w:tab w:val="center" w:pos="4419"/>
        <w:tab w:val="right" w:pos="8838"/>
      </w:tabs>
    </w:pPr>
  </w:style>
  <w:style w:type="character" w:customStyle="1" w:styleId="EncabezadoCar">
    <w:name w:val="Encabezado Car"/>
    <w:basedOn w:val="Fuentedeprrafopredeter"/>
    <w:link w:val="Encabezado"/>
    <w:uiPriority w:val="99"/>
    <w:rsid w:val="00AA30CF"/>
  </w:style>
  <w:style w:type="paragraph" w:styleId="Piedepgina">
    <w:name w:val="footer"/>
    <w:basedOn w:val="Normal"/>
    <w:link w:val="PiedepginaCar"/>
    <w:uiPriority w:val="99"/>
    <w:unhideWhenUsed/>
    <w:rsid w:val="00AA30CF"/>
    <w:pPr>
      <w:tabs>
        <w:tab w:val="center" w:pos="4419"/>
        <w:tab w:val="right" w:pos="8838"/>
      </w:tabs>
    </w:pPr>
  </w:style>
  <w:style w:type="character" w:customStyle="1" w:styleId="PiedepginaCar">
    <w:name w:val="Pie de página Car"/>
    <w:basedOn w:val="Fuentedeprrafopredeter"/>
    <w:link w:val="Piedepgina"/>
    <w:uiPriority w:val="99"/>
    <w:rsid w:val="00AA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Raymundo Reyes Romero</dc:creator>
  <cp:lastModifiedBy>Octavio</cp:lastModifiedBy>
  <cp:revision>3</cp:revision>
  <dcterms:created xsi:type="dcterms:W3CDTF">2015-10-09T23:05:00Z</dcterms:created>
  <dcterms:modified xsi:type="dcterms:W3CDTF">2015-10-09T23:08:00Z</dcterms:modified>
</cp:coreProperties>
</file>