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11" w:rsidRDefault="00EC0111">
      <w:pPr>
        <w:rPr>
          <w:rFonts w:ascii="Calibri" w:hAnsi="Calibri"/>
        </w:rPr>
      </w:pPr>
    </w:p>
    <w:p w:rsidR="00EC0111" w:rsidRDefault="00EC0111">
      <w:pPr>
        <w:rPr>
          <w:rFonts w:ascii="Calibri" w:hAnsi="Calibri"/>
        </w:rPr>
      </w:pPr>
    </w:p>
    <w:p w:rsidR="00AB00D7" w:rsidRPr="00BF2DF3" w:rsidRDefault="00EC0111">
      <w:pPr>
        <w:rPr>
          <w:rFonts w:ascii="Calibri" w:hAnsi="Calibri"/>
          <w:u w:val="single"/>
        </w:rPr>
      </w:pPr>
      <w:r w:rsidRPr="00BF2DF3">
        <w:rPr>
          <w:rFonts w:ascii="Calibri" w:hAnsi="Calibri"/>
          <w:b/>
        </w:rPr>
        <w:t>Nombre de la organización:</w:t>
      </w:r>
      <w:r w:rsidR="00BF2DF3">
        <w:rPr>
          <w:rFonts w:ascii="Calibri" w:hAnsi="Calibri"/>
          <w:u w:val="single"/>
        </w:rPr>
        <w:t xml:space="preserve"> Consejo Superior del Cooperativismo –COSUCOOP SC de RL de CV</w:t>
      </w:r>
    </w:p>
    <w:p w:rsidR="00EC0111" w:rsidRPr="00EC0111" w:rsidRDefault="00EC0111">
      <w:pPr>
        <w:rPr>
          <w:rFonts w:ascii="Calibri" w:hAnsi="Calibri"/>
        </w:rPr>
      </w:pPr>
    </w:p>
    <w:tbl>
      <w:tblPr>
        <w:tblStyle w:val="Tablaconcuadrcula"/>
        <w:tblW w:w="0" w:type="auto"/>
        <w:tblLayout w:type="fixed"/>
        <w:tblLook w:val="04A0" w:firstRow="1" w:lastRow="0" w:firstColumn="1" w:lastColumn="0" w:noHBand="0" w:noVBand="1"/>
      </w:tblPr>
      <w:tblGrid>
        <w:gridCol w:w="5070"/>
        <w:gridCol w:w="5077"/>
        <w:gridCol w:w="3075"/>
      </w:tblGrid>
      <w:tr w:rsidR="00EC0111" w:rsidRPr="00EC0111" w:rsidTr="00ED0ECA">
        <w:tc>
          <w:tcPr>
            <w:tcW w:w="5070"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Dice</w:t>
            </w:r>
          </w:p>
        </w:tc>
        <w:tc>
          <w:tcPr>
            <w:tcW w:w="5077"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Debe Decir</w:t>
            </w:r>
          </w:p>
        </w:tc>
        <w:tc>
          <w:tcPr>
            <w:tcW w:w="3075" w:type="dxa"/>
            <w:shd w:val="solid" w:color="auto" w:fill="auto"/>
            <w:vAlign w:val="center"/>
          </w:tcPr>
          <w:p w:rsidR="00EC0111" w:rsidRPr="00EC0111" w:rsidRDefault="00EC0111" w:rsidP="00EC0111">
            <w:pPr>
              <w:jc w:val="center"/>
              <w:rPr>
                <w:rFonts w:ascii="Calibri" w:hAnsi="Calibri"/>
                <w:b/>
              </w:rPr>
            </w:pPr>
            <w:r w:rsidRPr="00EC0111">
              <w:rPr>
                <w:rFonts w:ascii="Calibri" w:hAnsi="Calibri"/>
                <w:b/>
              </w:rPr>
              <w:t>Justificación</w:t>
            </w:r>
          </w:p>
        </w:tc>
      </w:tr>
      <w:tr w:rsidR="00EC0111" w:rsidRPr="00EC0111" w:rsidTr="00ED0ECA">
        <w:tc>
          <w:tcPr>
            <w:tcW w:w="5070" w:type="dxa"/>
          </w:tcPr>
          <w:p w:rsidR="00EC0111" w:rsidRDefault="00EC0111">
            <w:pPr>
              <w:rPr>
                <w:rFonts w:ascii="Calibri" w:hAnsi="Calibri"/>
              </w:rPr>
            </w:pPr>
          </w:p>
          <w:p w:rsidR="00EC0111" w:rsidRDefault="00EC0111">
            <w:pPr>
              <w:rPr>
                <w:rFonts w:ascii="Calibri" w:hAnsi="Calibri"/>
              </w:rPr>
            </w:pPr>
            <w:bookmarkStart w:id="0" w:name="_GoBack"/>
            <w:bookmarkEnd w:id="0"/>
          </w:p>
          <w:p w:rsidR="00EC0111" w:rsidRDefault="00EC0111">
            <w:pPr>
              <w:rPr>
                <w:rFonts w:ascii="Calibri" w:hAnsi="Calibri"/>
              </w:rPr>
            </w:pPr>
          </w:p>
          <w:p w:rsidR="00EC0111" w:rsidRDefault="00EC0111">
            <w:pPr>
              <w:rPr>
                <w:rFonts w:ascii="Calibri" w:hAnsi="Calibri"/>
              </w:rPr>
            </w:pPr>
          </w:p>
          <w:p w:rsidR="000F6EC0" w:rsidRDefault="000F6EC0" w:rsidP="000F6EC0">
            <w:pPr>
              <w:tabs>
                <w:tab w:val="right" w:leader="dot" w:pos="8828"/>
              </w:tabs>
              <w:ind w:firstLine="289"/>
              <w:jc w:val="both"/>
              <w:rPr>
                <w:rFonts w:ascii="Arial" w:eastAsia="Times New Roman" w:hAnsi="Arial" w:cs="Arial"/>
                <w:b/>
                <w:bCs/>
                <w:sz w:val="20"/>
                <w:szCs w:val="20"/>
                <w:lang w:val="es-MX"/>
              </w:rPr>
            </w:pPr>
          </w:p>
          <w:p w:rsidR="000F6EC0" w:rsidRPr="000F6EC0" w:rsidRDefault="000F6EC0" w:rsidP="000F6EC0">
            <w:pPr>
              <w:tabs>
                <w:tab w:val="right" w:leader="dot" w:pos="8828"/>
              </w:tabs>
              <w:ind w:firstLine="289"/>
              <w:jc w:val="both"/>
              <w:rPr>
                <w:rFonts w:ascii="Arial" w:eastAsia="Times New Roman" w:hAnsi="Arial" w:cs="Arial"/>
                <w:sz w:val="20"/>
                <w:szCs w:val="20"/>
                <w:lang w:val="es-MX"/>
              </w:rPr>
            </w:pPr>
            <w:r w:rsidRPr="000F6EC0">
              <w:rPr>
                <w:rFonts w:ascii="Arial" w:eastAsia="Times New Roman" w:hAnsi="Arial" w:cs="Arial"/>
                <w:b/>
                <w:bCs/>
                <w:sz w:val="20"/>
                <w:szCs w:val="20"/>
                <w:lang w:val="es-MX"/>
              </w:rPr>
              <w:t>Artículo 29</w:t>
            </w:r>
            <w:r w:rsidRPr="000F6EC0">
              <w:rPr>
                <w:rFonts w:ascii="Arial" w:eastAsia="Times New Roman" w:hAnsi="Arial" w:cs="Arial"/>
                <w:sz w:val="20"/>
                <w:szCs w:val="20"/>
                <w:lang w:val="es-MX"/>
              </w:rPr>
              <w:t xml:space="preserve">.- Por los siguientes servicios que presta </w:t>
            </w:r>
            <w:smartTag w:uri="urn:schemas-microsoft-com:office:smarttags" w:element="PersonName">
              <w:smartTagPr>
                <w:attr w:name="ProductID" w:val="la Comisi￳n Nacional"/>
              </w:smartTagPr>
              <w:r w:rsidRPr="000F6EC0">
                <w:rPr>
                  <w:rFonts w:ascii="Arial" w:eastAsia="Times New Roman" w:hAnsi="Arial" w:cs="Arial"/>
                  <w:sz w:val="20"/>
                  <w:szCs w:val="20"/>
                  <w:lang w:val="es-MX"/>
                </w:rPr>
                <w:t>la Comisión Nacional</w:t>
              </w:r>
            </w:smartTag>
            <w:r w:rsidRPr="000F6EC0">
              <w:rPr>
                <w:rFonts w:ascii="Arial" w:eastAsia="Times New Roman" w:hAnsi="Arial" w:cs="Arial"/>
                <w:sz w:val="20"/>
                <w:szCs w:val="20"/>
                <w:lang w:val="es-MX"/>
              </w:rPr>
              <w:t xml:space="preserve"> Bancaria y de Valores, se pagarán derechos conforme a las siguientes cuotas:</w:t>
            </w:r>
          </w:p>
          <w:p w:rsidR="00EC0111" w:rsidRPr="000F6EC0" w:rsidRDefault="000F6EC0">
            <w:pPr>
              <w:rPr>
                <w:rFonts w:ascii="Calibri" w:hAnsi="Calibri"/>
                <w:lang w:val="es-MX"/>
              </w:rPr>
            </w:pPr>
            <w:r>
              <w:rPr>
                <w:rFonts w:ascii="Calibri" w:hAnsi="Calibri"/>
                <w:lang w:val="es-MX"/>
              </w:rPr>
              <w:t>…</w:t>
            </w:r>
          </w:p>
          <w:p w:rsidR="000F6EC0" w:rsidRPr="008530F6" w:rsidRDefault="000F6EC0" w:rsidP="000F6EC0">
            <w:pPr>
              <w:pStyle w:val="Texto"/>
              <w:tabs>
                <w:tab w:val="right" w:leader="dot" w:pos="8827"/>
              </w:tabs>
              <w:spacing w:after="0" w:line="240" w:lineRule="auto"/>
              <w:ind w:left="426" w:hanging="576"/>
              <w:rPr>
                <w:sz w:val="20"/>
                <w:szCs w:val="20"/>
              </w:rPr>
            </w:pPr>
            <w:r w:rsidRPr="008530F6">
              <w:rPr>
                <w:b/>
                <w:sz w:val="20"/>
                <w:szCs w:val="20"/>
              </w:rPr>
              <w:t>XII.</w:t>
            </w:r>
            <w:r w:rsidRPr="008530F6">
              <w:rPr>
                <w:b/>
                <w:sz w:val="20"/>
                <w:szCs w:val="20"/>
              </w:rPr>
              <w:tab/>
            </w:r>
            <w:r w:rsidRPr="008530F6">
              <w:rPr>
                <w:sz w:val="20"/>
                <w:szCs w:val="20"/>
              </w:rPr>
              <w:t xml:space="preserve">Por el estudio y trámite de la solicitud y, en su caso, autorización para la constitución y operación de sociedades financieras populares, sociedades financieras comunitarias con niveles de operación I a IV y Organismos de Integración Financiera Rural a que se refiere la Ley de Ahorro y Crédito Popular </w:t>
            </w:r>
            <w:r w:rsidRPr="008530F6">
              <w:rPr>
                <w:sz w:val="20"/>
                <w:szCs w:val="20"/>
              </w:rPr>
              <w:tab/>
              <w:t xml:space="preserve"> </w:t>
            </w:r>
            <w:r w:rsidRPr="00980589">
              <w:rPr>
                <w:b/>
                <w:color w:val="000000"/>
                <w:sz w:val="20"/>
                <w:szCs w:val="20"/>
                <w:lang w:eastAsia="es-MX"/>
              </w:rPr>
              <w:t>$22,356.64</w:t>
            </w:r>
          </w:p>
          <w:p w:rsidR="000F6EC0" w:rsidRPr="008530F6" w:rsidRDefault="000F6EC0" w:rsidP="000F6EC0">
            <w:pPr>
              <w:pStyle w:val="Texto"/>
              <w:spacing w:after="0" w:line="240" w:lineRule="auto"/>
              <w:ind w:left="426" w:hanging="576"/>
              <w:rPr>
                <w:sz w:val="20"/>
                <w:szCs w:val="20"/>
              </w:rPr>
            </w:pPr>
          </w:p>
          <w:p w:rsidR="000F6EC0" w:rsidRPr="008530F6" w:rsidRDefault="000F6EC0" w:rsidP="000F6EC0">
            <w:pPr>
              <w:pStyle w:val="Texto"/>
              <w:spacing w:after="0" w:line="240" w:lineRule="auto"/>
              <w:ind w:left="426" w:hanging="576"/>
              <w:rPr>
                <w:sz w:val="20"/>
                <w:szCs w:val="20"/>
              </w:rPr>
            </w:pPr>
            <w:r w:rsidRPr="008530F6">
              <w:rPr>
                <w:sz w:val="20"/>
                <w:szCs w:val="20"/>
              </w:rPr>
              <w:tab/>
              <w:t xml:space="preserve">El derecho a que se refiere esta fracción </w:t>
            </w:r>
            <w:r w:rsidRPr="000F6EC0">
              <w:rPr>
                <w:b/>
                <w:sz w:val="20"/>
                <w:szCs w:val="20"/>
              </w:rPr>
              <w:t>se pagará también</w:t>
            </w:r>
            <w:r w:rsidRPr="008530F6">
              <w:rPr>
                <w:sz w:val="20"/>
                <w:szCs w:val="20"/>
              </w:rPr>
              <w:t xml:space="preserve"> por el estudio y trámite de la solicitud y, en su caso, autorización para realizar operaciones de ahorro y préstamo, de sociedades cooperativas de ahorro y préstamo a que se refiere la Ley para Regular las Actividades de las Sociedades Cooperativas de Ahorro y Préstamo.</w:t>
            </w:r>
          </w:p>
          <w:p w:rsidR="00EC0111" w:rsidRPr="00EC0111" w:rsidRDefault="00EC0111">
            <w:pPr>
              <w:rPr>
                <w:rFonts w:ascii="Calibri" w:hAnsi="Calibri"/>
              </w:rPr>
            </w:pPr>
          </w:p>
        </w:tc>
        <w:tc>
          <w:tcPr>
            <w:tcW w:w="5077" w:type="dxa"/>
          </w:tcPr>
          <w:p w:rsidR="00EC0111" w:rsidRDefault="000F6EC0">
            <w:pPr>
              <w:rPr>
                <w:b/>
                <w:bCs/>
                <w:sz w:val="23"/>
                <w:szCs w:val="23"/>
              </w:rPr>
            </w:pPr>
            <w:r>
              <w:rPr>
                <w:b/>
                <w:bCs/>
                <w:sz w:val="23"/>
                <w:szCs w:val="23"/>
              </w:rPr>
              <w:t>Decreto por el que se reforman, adicionan y derogan diversas disposiciones de la Ley Federal de Derechos</w:t>
            </w:r>
          </w:p>
          <w:p w:rsidR="000F6EC0" w:rsidRDefault="000F6EC0">
            <w:pPr>
              <w:rPr>
                <w:rFonts w:ascii="Calibri" w:hAnsi="Calibri"/>
              </w:rPr>
            </w:pPr>
          </w:p>
          <w:p w:rsidR="000F6EC0" w:rsidRPr="000F6EC0" w:rsidRDefault="000F6EC0" w:rsidP="000F6EC0">
            <w:pPr>
              <w:tabs>
                <w:tab w:val="right" w:leader="dot" w:pos="8828"/>
              </w:tabs>
              <w:ind w:firstLine="289"/>
              <w:jc w:val="both"/>
              <w:rPr>
                <w:rFonts w:ascii="Arial" w:eastAsia="Times New Roman" w:hAnsi="Arial" w:cs="Arial"/>
                <w:sz w:val="20"/>
                <w:szCs w:val="20"/>
                <w:lang w:val="es-MX"/>
              </w:rPr>
            </w:pPr>
            <w:r w:rsidRPr="000F6EC0">
              <w:rPr>
                <w:rFonts w:ascii="Arial" w:eastAsia="Times New Roman" w:hAnsi="Arial" w:cs="Arial"/>
                <w:b/>
                <w:bCs/>
                <w:sz w:val="20"/>
                <w:szCs w:val="20"/>
                <w:lang w:val="es-MX"/>
              </w:rPr>
              <w:t>Artículo 29</w:t>
            </w:r>
            <w:r w:rsidRPr="000F6EC0">
              <w:rPr>
                <w:rFonts w:ascii="Arial" w:eastAsia="Times New Roman" w:hAnsi="Arial" w:cs="Arial"/>
                <w:sz w:val="20"/>
                <w:szCs w:val="20"/>
                <w:lang w:val="es-MX"/>
              </w:rPr>
              <w:t xml:space="preserve">.- Por los siguientes servicios que presta </w:t>
            </w:r>
            <w:smartTag w:uri="urn:schemas-microsoft-com:office:smarttags" w:element="PersonName">
              <w:smartTagPr>
                <w:attr w:name="ProductID" w:val="la Comisi￳n Nacional"/>
              </w:smartTagPr>
              <w:r w:rsidRPr="000F6EC0">
                <w:rPr>
                  <w:rFonts w:ascii="Arial" w:eastAsia="Times New Roman" w:hAnsi="Arial" w:cs="Arial"/>
                  <w:sz w:val="20"/>
                  <w:szCs w:val="20"/>
                  <w:lang w:val="es-MX"/>
                </w:rPr>
                <w:t>la Comisión Nacional</w:t>
              </w:r>
            </w:smartTag>
            <w:r w:rsidRPr="000F6EC0">
              <w:rPr>
                <w:rFonts w:ascii="Arial" w:eastAsia="Times New Roman" w:hAnsi="Arial" w:cs="Arial"/>
                <w:sz w:val="20"/>
                <w:szCs w:val="20"/>
                <w:lang w:val="es-MX"/>
              </w:rPr>
              <w:t xml:space="preserve"> Bancaria y de Valores, se pagarán derechos conforme a las siguientes cuotas:</w:t>
            </w:r>
          </w:p>
          <w:p w:rsidR="000F6EC0" w:rsidRDefault="000F6EC0">
            <w:pPr>
              <w:rPr>
                <w:rFonts w:ascii="Calibri" w:hAnsi="Calibri"/>
                <w:lang w:val="es-MX"/>
              </w:rPr>
            </w:pPr>
            <w:r>
              <w:rPr>
                <w:rFonts w:ascii="Calibri" w:hAnsi="Calibri"/>
                <w:lang w:val="es-MX"/>
              </w:rPr>
              <w:t>…</w:t>
            </w:r>
          </w:p>
          <w:p w:rsidR="000F6EC0" w:rsidRPr="008530F6" w:rsidRDefault="000F6EC0" w:rsidP="000F6EC0">
            <w:pPr>
              <w:pStyle w:val="Texto"/>
              <w:tabs>
                <w:tab w:val="right" w:leader="dot" w:pos="8827"/>
              </w:tabs>
              <w:spacing w:after="0" w:line="240" w:lineRule="auto"/>
              <w:ind w:left="426" w:hanging="576"/>
              <w:rPr>
                <w:sz w:val="20"/>
                <w:szCs w:val="20"/>
              </w:rPr>
            </w:pPr>
            <w:r>
              <w:rPr>
                <w:b/>
                <w:sz w:val="20"/>
                <w:szCs w:val="20"/>
              </w:rPr>
              <w:t>XII.</w:t>
            </w:r>
            <w:r>
              <w:rPr>
                <w:b/>
                <w:sz w:val="20"/>
                <w:szCs w:val="20"/>
              </w:rPr>
              <w:tab/>
            </w:r>
            <w:r w:rsidRPr="008530F6">
              <w:rPr>
                <w:sz w:val="20"/>
                <w:szCs w:val="20"/>
              </w:rPr>
              <w:t xml:space="preserve">Por el estudio y trámite de la solicitud y, en su caso, autorización para la constitución y operación de sociedades financieras populares, sociedades financieras comunitarias con niveles de operación I a IV y Organismos de Integración Financiera Rural a que se refiere la Ley de Ahorro y Crédito Popular </w:t>
            </w:r>
            <w:r w:rsidRPr="008530F6">
              <w:rPr>
                <w:sz w:val="20"/>
                <w:szCs w:val="20"/>
              </w:rPr>
              <w:tab/>
              <w:t xml:space="preserve"> </w:t>
            </w:r>
            <w:r w:rsidRPr="00980589">
              <w:rPr>
                <w:b/>
                <w:color w:val="000000"/>
                <w:sz w:val="20"/>
                <w:szCs w:val="20"/>
                <w:lang w:eastAsia="es-MX"/>
              </w:rPr>
              <w:t>$22,356.64</w:t>
            </w:r>
          </w:p>
          <w:p w:rsidR="000F6EC0" w:rsidRPr="008530F6" w:rsidRDefault="000F6EC0" w:rsidP="000F6EC0">
            <w:pPr>
              <w:pStyle w:val="Texto"/>
              <w:spacing w:after="0" w:line="240" w:lineRule="auto"/>
              <w:ind w:left="426" w:hanging="576"/>
              <w:rPr>
                <w:sz w:val="20"/>
                <w:szCs w:val="20"/>
              </w:rPr>
            </w:pPr>
          </w:p>
          <w:p w:rsidR="000F6EC0" w:rsidRPr="000F6EC0" w:rsidRDefault="000F6EC0" w:rsidP="000F6EC0">
            <w:pPr>
              <w:pStyle w:val="Texto"/>
              <w:spacing w:after="0" w:line="240" w:lineRule="auto"/>
              <w:ind w:left="426" w:hanging="576"/>
              <w:rPr>
                <w:sz w:val="20"/>
                <w:szCs w:val="20"/>
              </w:rPr>
            </w:pPr>
            <w:r w:rsidRPr="008530F6">
              <w:rPr>
                <w:sz w:val="20"/>
                <w:szCs w:val="20"/>
              </w:rPr>
              <w:tab/>
            </w:r>
            <w:r w:rsidRPr="000F6EC0">
              <w:rPr>
                <w:b/>
                <w:sz w:val="20"/>
                <w:szCs w:val="20"/>
              </w:rPr>
              <w:t>Quedarán exentas</w:t>
            </w:r>
            <w:r>
              <w:rPr>
                <w:sz w:val="20"/>
                <w:szCs w:val="20"/>
              </w:rPr>
              <w:t xml:space="preserve"> </w:t>
            </w:r>
            <w:r>
              <w:rPr>
                <w:b/>
                <w:sz w:val="20"/>
                <w:szCs w:val="20"/>
              </w:rPr>
              <w:t xml:space="preserve">del pago de este </w:t>
            </w:r>
            <w:r w:rsidRPr="008530F6">
              <w:rPr>
                <w:sz w:val="20"/>
                <w:szCs w:val="20"/>
              </w:rPr>
              <w:t xml:space="preserve">derecho a que se refiere esta fracción por el estudio y trámite de la solicitud y, en su caso, autorización para realizar operaciones de ahorro y préstamo, </w:t>
            </w:r>
            <w:r>
              <w:rPr>
                <w:b/>
                <w:sz w:val="20"/>
                <w:szCs w:val="20"/>
              </w:rPr>
              <w:t xml:space="preserve">las </w:t>
            </w:r>
            <w:r w:rsidRPr="008530F6">
              <w:rPr>
                <w:sz w:val="20"/>
                <w:szCs w:val="20"/>
              </w:rPr>
              <w:t>sociedades cooperativas de ahorro y préstamo a que se refiere la Ley para Regular las Actividades de las Sociedades Cooperativas de Ahorro y Préstamo.</w:t>
            </w:r>
          </w:p>
        </w:tc>
        <w:tc>
          <w:tcPr>
            <w:tcW w:w="3075" w:type="dxa"/>
          </w:tcPr>
          <w:p w:rsidR="00EC0111" w:rsidRDefault="00EC0111">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Default="000F6EC0">
            <w:pPr>
              <w:rPr>
                <w:rFonts w:ascii="Calibri" w:hAnsi="Calibri"/>
                <w:lang w:val="es-MX"/>
              </w:rPr>
            </w:pPr>
          </w:p>
          <w:p w:rsidR="000F6EC0" w:rsidRPr="000F6EC0" w:rsidRDefault="000F6EC0">
            <w:pPr>
              <w:rPr>
                <w:rFonts w:ascii="Calibri" w:hAnsi="Calibri"/>
                <w:lang w:val="es-MX"/>
              </w:rPr>
            </w:pPr>
            <w:r>
              <w:rPr>
                <w:rFonts w:ascii="Calibri" w:hAnsi="Calibri"/>
                <w:lang w:val="es-MX"/>
              </w:rPr>
              <w:t>Por ser organizaciones del Sector Social se debe dar el tutelaje por parte del Estado</w:t>
            </w:r>
          </w:p>
        </w:tc>
      </w:tr>
      <w:tr w:rsidR="000F6EC0" w:rsidRPr="00EC0111" w:rsidTr="00ED0ECA">
        <w:tc>
          <w:tcPr>
            <w:tcW w:w="5070" w:type="dxa"/>
          </w:tcPr>
          <w:p w:rsidR="000F6EC0" w:rsidRPr="008530F6" w:rsidRDefault="000F6EC0" w:rsidP="000F6EC0">
            <w:pPr>
              <w:pStyle w:val="TextoCar"/>
              <w:tabs>
                <w:tab w:val="right" w:leader="dot" w:pos="8828"/>
              </w:tabs>
              <w:spacing w:after="0" w:line="240" w:lineRule="auto"/>
              <w:ind w:firstLine="289"/>
              <w:rPr>
                <w:sz w:val="20"/>
                <w:lang w:val="es-MX"/>
              </w:rPr>
            </w:pPr>
            <w:r w:rsidRPr="008530F6">
              <w:rPr>
                <w:b/>
                <w:sz w:val="20"/>
                <w:lang w:val="es-MX"/>
              </w:rPr>
              <w:t>Artículo 29-D.</w:t>
            </w:r>
            <w:r w:rsidRPr="008530F6">
              <w:rPr>
                <w:sz w:val="20"/>
                <w:lang w:val="es-MX"/>
              </w:rPr>
              <w:t xml:space="preserve"> Las entidades o sujetos a que se refiere este artículo incluyendo las filiales de entidades financieras del exterior de cualquier tipo, pagarán por los servicios de inspección y vigilancia que presta </w:t>
            </w:r>
            <w:smartTag w:uri="urn:schemas-microsoft-com:office:smarttags" w:element="PersonName">
              <w:smartTagPr>
                <w:attr w:name="ProductID" w:val="la Comisi￳n Nacional"/>
              </w:smartTagPr>
              <w:r w:rsidRPr="008530F6">
                <w:rPr>
                  <w:sz w:val="20"/>
                  <w:lang w:val="es-MX"/>
                </w:rPr>
                <w:t xml:space="preserve">la </w:t>
              </w:r>
              <w:r w:rsidRPr="008530F6">
                <w:rPr>
                  <w:sz w:val="20"/>
                  <w:lang w:val="es-MX"/>
                </w:rPr>
                <w:lastRenderedPageBreak/>
                <w:t>Comisión Nacional</w:t>
              </w:r>
            </w:smartTag>
            <w:r w:rsidRPr="008530F6">
              <w:rPr>
                <w:sz w:val="20"/>
                <w:lang w:val="es-MX"/>
              </w:rPr>
              <w:t xml:space="preserve"> Bancaria y de Valores, las siguientes cuotas:</w:t>
            </w:r>
          </w:p>
          <w:p w:rsidR="000F6EC0" w:rsidRDefault="000F6EC0">
            <w:pPr>
              <w:rPr>
                <w:rFonts w:ascii="Calibri" w:hAnsi="Calibri"/>
                <w:lang w:val="es-MX"/>
              </w:rPr>
            </w:pPr>
            <w:r>
              <w:rPr>
                <w:rFonts w:ascii="Calibri" w:hAnsi="Calibri"/>
                <w:lang w:val="es-MX"/>
              </w:rPr>
              <w:t>….</w:t>
            </w: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r w:rsidRPr="000F6EC0">
              <w:rPr>
                <w:rFonts w:ascii="Arial" w:eastAsia="Times New Roman" w:hAnsi="Arial" w:cs="Arial"/>
                <w:b/>
                <w:bCs/>
                <w:sz w:val="20"/>
                <w:szCs w:val="20"/>
                <w:lang w:val="es-MX"/>
              </w:rPr>
              <w:t>X.</w:t>
            </w:r>
            <w:r w:rsidRPr="000F6EC0">
              <w:rPr>
                <w:rFonts w:ascii="Arial" w:eastAsia="Times New Roman" w:hAnsi="Arial" w:cs="Arial"/>
                <w:b/>
                <w:bCs/>
                <w:sz w:val="20"/>
                <w:szCs w:val="20"/>
                <w:lang w:val="es-MX"/>
              </w:rPr>
              <w:tab/>
            </w:r>
            <w:r w:rsidRPr="000F6EC0">
              <w:rPr>
                <w:rFonts w:ascii="Arial" w:eastAsia="Times New Roman" w:hAnsi="Arial" w:cs="Arial"/>
                <w:bCs/>
                <w:sz w:val="20"/>
                <w:szCs w:val="20"/>
                <w:lang w:val="es-MX"/>
              </w:rPr>
              <w:t xml:space="preserve">El Fondo de Supervisión Auxiliar de Sociedades Cooperativas de Ahorro y Préstamo y de Protección a sus Ahorradores pagará una cuota de </w:t>
            </w:r>
            <w:r w:rsidRPr="000F6EC0">
              <w:rPr>
                <w:rFonts w:ascii="Arial" w:eastAsia="Times New Roman" w:hAnsi="Arial" w:cs="Arial"/>
                <w:b/>
                <w:color w:val="000000"/>
                <w:sz w:val="20"/>
                <w:szCs w:val="20"/>
                <w:lang w:val="es-MX" w:eastAsia="es-MX"/>
              </w:rPr>
              <w:t>$17,449,343.46</w:t>
            </w:r>
            <w:r w:rsidRPr="000F6EC0">
              <w:rPr>
                <w:rFonts w:ascii="Arial" w:eastAsia="Times New Roman" w:hAnsi="Arial" w:cs="Arial"/>
                <w:bCs/>
                <w:sz w:val="20"/>
                <w:szCs w:val="20"/>
                <w:lang w:val="es-MX"/>
              </w:rPr>
              <w:t>, o bien, podrá optar por pagar una cuota equivalente al resultado de la suma de las siguientes cantidades relativas a cada una de las Sociedades Cooperativas de Ahorro y Préstamo que supervise:</w:t>
            </w: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r w:rsidRPr="000F6EC0">
              <w:rPr>
                <w:rFonts w:ascii="Arial" w:eastAsia="Times New Roman" w:hAnsi="Arial" w:cs="Arial"/>
                <w:b/>
                <w:bCs/>
                <w:sz w:val="20"/>
                <w:szCs w:val="20"/>
                <w:lang w:val="es-MX"/>
              </w:rPr>
              <w:t>a).</w:t>
            </w:r>
            <w:r w:rsidRPr="000F6EC0">
              <w:rPr>
                <w:rFonts w:ascii="Arial" w:eastAsia="Times New Roman" w:hAnsi="Arial" w:cs="Arial"/>
                <w:b/>
                <w:bCs/>
                <w:sz w:val="20"/>
                <w:szCs w:val="20"/>
                <w:lang w:val="es-MX"/>
              </w:rPr>
              <w:tab/>
            </w:r>
            <w:r w:rsidRPr="000F6EC0">
              <w:rPr>
                <w:rFonts w:ascii="Arial" w:eastAsia="Times New Roman" w:hAnsi="Arial" w:cs="Arial"/>
                <w:bCs/>
                <w:sz w:val="20"/>
                <w:szCs w:val="20"/>
                <w:lang w:val="es-MX"/>
              </w:rPr>
              <w:t>El resultado de multiplicar 0.10000 al millar, por el valor de sus pasivos;</w:t>
            </w: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r w:rsidRPr="000F6EC0">
              <w:rPr>
                <w:rFonts w:ascii="Arial" w:eastAsia="Times New Roman" w:hAnsi="Arial" w:cs="Arial"/>
                <w:b/>
                <w:bCs/>
                <w:sz w:val="20"/>
                <w:szCs w:val="20"/>
                <w:lang w:val="es-MX"/>
              </w:rPr>
              <w:t>b).</w:t>
            </w:r>
            <w:r w:rsidRPr="000F6EC0">
              <w:rPr>
                <w:rFonts w:ascii="Arial" w:eastAsia="Times New Roman" w:hAnsi="Arial" w:cs="Arial"/>
                <w:b/>
                <w:bCs/>
                <w:sz w:val="20"/>
                <w:szCs w:val="20"/>
                <w:lang w:val="es-MX"/>
              </w:rPr>
              <w:tab/>
            </w:r>
            <w:r w:rsidRPr="000F6EC0">
              <w:rPr>
                <w:rFonts w:ascii="Arial" w:eastAsia="Times New Roman" w:hAnsi="Arial" w:cs="Arial"/>
                <w:bCs/>
                <w:sz w:val="20"/>
                <w:szCs w:val="20"/>
                <w:lang w:val="es-MX"/>
              </w:rPr>
              <w:t>El resultado de multiplicar 0.25000 al millar, por el valor de su cartera de crédito</w:t>
            </w:r>
            <w:r w:rsidRPr="000F6EC0">
              <w:rPr>
                <w:rFonts w:ascii="Arial" w:eastAsia="Times New Roman" w:hAnsi="Arial" w:cs="Arial"/>
                <w:bCs/>
                <w:sz w:val="20"/>
                <w:szCs w:val="20"/>
                <w:lang w:val="es-MX"/>
              </w:rPr>
              <w:br/>
              <w:t>vencida, y</w:t>
            </w: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proofErr w:type="gramStart"/>
            <w:r w:rsidRPr="000F6EC0">
              <w:rPr>
                <w:rFonts w:ascii="Arial" w:eastAsia="Times New Roman" w:hAnsi="Arial" w:cs="Arial"/>
                <w:b/>
                <w:bCs/>
                <w:sz w:val="20"/>
                <w:szCs w:val="20"/>
                <w:lang w:val="es-MX"/>
              </w:rPr>
              <w:t>c)</w:t>
            </w:r>
            <w:proofErr w:type="gramEnd"/>
            <w:r w:rsidRPr="000F6EC0">
              <w:rPr>
                <w:rFonts w:ascii="Arial" w:eastAsia="Times New Roman" w:hAnsi="Arial" w:cs="Arial"/>
                <w:b/>
                <w:bCs/>
                <w:sz w:val="20"/>
                <w:szCs w:val="20"/>
                <w:lang w:val="es-MX"/>
              </w:rPr>
              <w:t>.</w:t>
            </w:r>
            <w:r w:rsidRPr="000F6EC0">
              <w:rPr>
                <w:rFonts w:ascii="Arial" w:eastAsia="Times New Roman" w:hAnsi="Arial" w:cs="Arial"/>
                <w:b/>
                <w:bCs/>
                <w:sz w:val="20"/>
                <w:szCs w:val="20"/>
                <w:lang w:val="es-MX"/>
              </w:rPr>
              <w:tab/>
            </w:r>
            <w:r w:rsidRPr="000F6EC0">
              <w:rPr>
                <w:rFonts w:ascii="Arial" w:eastAsia="Times New Roman" w:hAnsi="Arial" w:cs="Arial"/>
                <w:bCs/>
                <w:sz w:val="20"/>
                <w:szCs w:val="20"/>
                <w:lang w:val="es-MX"/>
              </w:rPr>
              <w:t>El resultado de multiplicar 0.00800 al millar, por el valor de su cartera de crédito menos las estimaciones preventivas para riesgos crediticios.</w:t>
            </w: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r w:rsidRPr="000F6EC0">
              <w:rPr>
                <w:rFonts w:ascii="Arial" w:eastAsia="Times New Roman" w:hAnsi="Arial" w:cs="Arial"/>
                <w:bCs/>
                <w:sz w:val="20"/>
                <w:szCs w:val="20"/>
                <w:lang w:val="es-MX"/>
              </w:rPr>
              <w:tab/>
              <w:t xml:space="preserve">En caso de optar por pagar la cuota equivalente al resultado de la suma de las cantidades obtenidas de las operaciones contenidas en los incisos a), b) y c) anteriores, en ningún caso dicha cuota podrá ser inferior a </w:t>
            </w:r>
            <w:r w:rsidRPr="000F6EC0">
              <w:rPr>
                <w:rFonts w:ascii="Arial" w:eastAsia="Times New Roman" w:hAnsi="Arial" w:cs="Arial"/>
                <w:b/>
                <w:color w:val="000000"/>
                <w:sz w:val="20"/>
                <w:szCs w:val="20"/>
                <w:lang w:val="es-MX" w:eastAsia="es-MX"/>
              </w:rPr>
              <w:t xml:space="preserve">$23,265.80 </w:t>
            </w:r>
            <w:r w:rsidRPr="000F6EC0">
              <w:rPr>
                <w:rFonts w:ascii="Arial" w:eastAsia="Times New Roman" w:hAnsi="Arial" w:cs="Arial"/>
                <w:bCs/>
                <w:sz w:val="20"/>
                <w:szCs w:val="20"/>
                <w:lang w:val="es-MX"/>
              </w:rPr>
              <w:t>por cada sociedad que supervise el Fondo de Supervisión Auxiliar de Sociedades Cooperativas de Ahorro y Préstamo y de Protección a sus Ahorradores.</w:t>
            </w:r>
          </w:p>
          <w:p w:rsidR="000F6EC0" w:rsidRPr="000F6EC0" w:rsidRDefault="000F6EC0">
            <w:pPr>
              <w:rPr>
                <w:rFonts w:ascii="Calibri" w:hAnsi="Calibri"/>
                <w:lang w:val="es-MX"/>
              </w:rPr>
            </w:pPr>
          </w:p>
        </w:tc>
        <w:tc>
          <w:tcPr>
            <w:tcW w:w="5077" w:type="dxa"/>
          </w:tcPr>
          <w:p w:rsidR="000F6EC0" w:rsidRPr="008530F6" w:rsidRDefault="000F6EC0" w:rsidP="000F6EC0">
            <w:pPr>
              <w:pStyle w:val="TextoCar"/>
              <w:tabs>
                <w:tab w:val="right" w:leader="dot" w:pos="8828"/>
              </w:tabs>
              <w:spacing w:after="0" w:line="240" w:lineRule="auto"/>
              <w:ind w:firstLine="289"/>
              <w:rPr>
                <w:sz w:val="20"/>
                <w:lang w:val="es-MX"/>
              </w:rPr>
            </w:pPr>
            <w:r w:rsidRPr="008530F6">
              <w:rPr>
                <w:b/>
                <w:sz w:val="20"/>
                <w:lang w:val="es-MX"/>
              </w:rPr>
              <w:lastRenderedPageBreak/>
              <w:t>Artículo 29-D.</w:t>
            </w:r>
            <w:r w:rsidRPr="008530F6">
              <w:rPr>
                <w:sz w:val="20"/>
                <w:lang w:val="es-MX"/>
              </w:rPr>
              <w:t xml:space="preserve"> Las entidades o sujetos a que se refiere este artículo incluyendo las filiales de entidades financieras del exterior de cualquier tipo, pagarán por los servicios de inspección y vigilancia que presta </w:t>
            </w:r>
            <w:smartTag w:uri="urn:schemas-microsoft-com:office:smarttags" w:element="PersonName">
              <w:smartTagPr>
                <w:attr w:name="ProductID" w:val="la Comisi￳n Nacional"/>
              </w:smartTagPr>
              <w:r w:rsidRPr="008530F6">
                <w:rPr>
                  <w:sz w:val="20"/>
                  <w:lang w:val="es-MX"/>
                </w:rPr>
                <w:t xml:space="preserve">la </w:t>
              </w:r>
              <w:r w:rsidRPr="008530F6">
                <w:rPr>
                  <w:sz w:val="20"/>
                  <w:lang w:val="es-MX"/>
                </w:rPr>
                <w:lastRenderedPageBreak/>
                <w:t>Comisión Nacional</w:t>
              </w:r>
            </w:smartTag>
            <w:r w:rsidRPr="008530F6">
              <w:rPr>
                <w:sz w:val="20"/>
                <w:lang w:val="es-MX"/>
              </w:rPr>
              <w:t xml:space="preserve"> Bancaria y de Valores, las siguientes cuotas:</w:t>
            </w:r>
          </w:p>
          <w:p w:rsidR="000F6EC0" w:rsidRDefault="000F6EC0" w:rsidP="000F6EC0">
            <w:pPr>
              <w:rPr>
                <w:rFonts w:ascii="Calibri" w:hAnsi="Calibri"/>
                <w:lang w:val="es-MX"/>
              </w:rPr>
            </w:pPr>
            <w:r>
              <w:rPr>
                <w:rFonts w:ascii="Calibri" w:hAnsi="Calibri"/>
                <w:lang w:val="es-MX"/>
              </w:rPr>
              <w:t>….</w:t>
            </w: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r w:rsidRPr="000F6EC0">
              <w:rPr>
                <w:rFonts w:ascii="Arial" w:eastAsia="Times New Roman" w:hAnsi="Arial" w:cs="Arial"/>
                <w:b/>
                <w:bCs/>
                <w:sz w:val="20"/>
                <w:szCs w:val="20"/>
                <w:lang w:val="es-MX"/>
              </w:rPr>
              <w:t>X.</w:t>
            </w:r>
            <w:r w:rsidRPr="000F6EC0">
              <w:rPr>
                <w:rFonts w:ascii="Arial" w:eastAsia="Times New Roman" w:hAnsi="Arial" w:cs="Arial"/>
                <w:b/>
                <w:bCs/>
                <w:sz w:val="20"/>
                <w:szCs w:val="20"/>
                <w:lang w:val="es-MX"/>
              </w:rPr>
              <w:tab/>
            </w:r>
            <w:r w:rsidRPr="000F6EC0">
              <w:rPr>
                <w:rFonts w:ascii="Arial" w:eastAsia="Times New Roman" w:hAnsi="Arial" w:cs="Arial"/>
                <w:bCs/>
                <w:sz w:val="20"/>
                <w:szCs w:val="20"/>
                <w:lang w:val="es-MX"/>
              </w:rPr>
              <w:t xml:space="preserve">El Fondo de Supervisión Auxiliar de Sociedades Cooperativas de Ahorro y Préstamo y de Protección a sus Ahorradores pagará una cuota de </w:t>
            </w:r>
            <w:r w:rsidRPr="000F6EC0">
              <w:rPr>
                <w:rFonts w:ascii="Arial" w:eastAsia="Times New Roman" w:hAnsi="Arial" w:cs="Arial"/>
                <w:b/>
                <w:color w:val="000000"/>
                <w:sz w:val="20"/>
                <w:szCs w:val="20"/>
                <w:highlight w:val="yellow"/>
                <w:u w:val="single"/>
                <w:lang w:val="es-MX" w:eastAsia="es-MX"/>
              </w:rPr>
              <w:t>$1,449,343.46</w:t>
            </w:r>
            <w:r w:rsidRPr="000F6EC0">
              <w:rPr>
                <w:rFonts w:ascii="Arial" w:eastAsia="Times New Roman" w:hAnsi="Arial" w:cs="Arial"/>
                <w:bCs/>
                <w:sz w:val="20"/>
                <w:szCs w:val="20"/>
                <w:lang w:val="es-MX"/>
              </w:rPr>
              <w:t>, o bien, podrá optar por pagar una cuota equivalente al resultado de la suma de las siguientes cantidades relativas a cada una de las Sociedades Cooperativas de Ahorro y Préstamo que supervise:</w:t>
            </w: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r w:rsidRPr="000F6EC0">
              <w:rPr>
                <w:rFonts w:ascii="Arial" w:eastAsia="Times New Roman" w:hAnsi="Arial" w:cs="Arial"/>
                <w:b/>
                <w:bCs/>
                <w:sz w:val="20"/>
                <w:szCs w:val="20"/>
                <w:lang w:val="es-MX"/>
              </w:rPr>
              <w:t>a).</w:t>
            </w:r>
            <w:r w:rsidRPr="000F6EC0">
              <w:rPr>
                <w:rFonts w:ascii="Arial" w:eastAsia="Times New Roman" w:hAnsi="Arial" w:cs="Arial"/>
                <w:b/>
                <w:bCs/>
                <w:sz w:val="20"/>
                <w:szCs w:val="20"/>
                <w:lang w:val="es-MX"/>
              </w:rPr>
              <w:tab/>
            </w:r>
            <w:r w:rsidRPr="000F6EC0">
              <w:rPr>
                <w:rFonts w:ascii="Arial" w:eastAsia="Times New Roman" w:hAnsi="Arial" w:cs="Arial"/>
                <w:bCs/>
                <w:sz w:val="20"/>
                <w:szCs w:val="20"/>
                <w:lang w:val="es-MX"/>
              </w:rPr>
              <w:t xml:space="preserve">El resultado de multiplicar </w:t>
            </w:r>
            <w:r w:rsidRPr="000F6EC0">
              <w:rPr>
                <w:rFonts w:ascii="Arial" w:eastAsia="Times New Roman" w:hAnsi="Arial" w:cs="Arial"/>
                <w:b/>
                <w:bCs/>
                <w:sz w:val="20"/>
                <w:szCs w:val="20"/>
                <w:highlight w:val="yellow"/>
                <w:lang w:val="es-MX"/>
              </w:rPr>
              <w:t>0.</w:t>
            </w:r>
            <w:r w:rsidR="00D36910" w:rsidRPr="00D36910">
              <w:rPr>
                <w:rFonts w:ascii="Arial" w:eastAsia="Times New Roman" w:hAnsi="Arial" w:cs="Arial"/>
                <w:b/>
                <w:bCs/>
                <w:sz w:val="20"/>
                <w:szCs w:val="20"/>
                <w:highlight w:val="yellow"/>
                <w:lang w:val="es-MX"/>
              </w:rPr>
              <w:t>0</w:t>
            </w:r>
            <w:r w:rsidRPr="000F6EC0">
              <w:rPr>
                <w:rFonts w:ascii="Arial" w:eastAsia="Times New Roman" w:hAnsi="Arial" w:cs="Arial"/>
                <w:b/>
                <w:bCs/>
                <w:sz w:val="20"/>
                <w:szCs w:val="20"/>
                <w:highlight w:val="yellow"/>
                <w:lang w:val="es-MX"/>
              </w:rPr>
              <w:t>1000</w:t>
            </w:r>
            <w:r w:rsidRPr="000F6EC0">
              <w:rPr>
                <w:rFonts w:ascii="Arial" w:eastAsia="Times New Roman" w:hAnsi="Arial" w:cs="Arial"/>
                <w:b/>
                <w:bCs/>
                <w:sz w:val="20"/>
                <w:szCs w:val="20"/>
                <w:lang w:val="es-MX"/>
              </w:rPr>
              <w:t xml:space="preserve"> </w:t>
            </w:r>
            <w:r w:rsidRPr="000F6EC0">
              <w:rPr>
                <w:rFonts w:ascii="Arial" w:eastAsia="Times New Roman" w:hAnsi="Arial" w:cs="Arial"/>
                <w:bCs/>
                <w:sz w:val="20"/>
                <w:szCs w:val="20"/>
                <w:lang w:val="es-MX"/>
              </w:rPr>
              <w:t>al millar, por el valor de sus pasivos;</w:t>
            </w: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r w:rsidRPr="000F6EC0">
              <w:rPr>
                <w:rFonts w:ascii="Arial" w:eastAsia="Times New Roman" w:hAnsi="Arial" w:cs="Arial"/>
                <w:b/>
                <w:bCs/>
                <w:sz w:val="20"/>
                <w:szCs w:val="20"/>
                <w:lang w:val="es-MX"/>
              </w:rPr>
              <w:t>b).</w:t>
            </w:r>
            <w:r w:rsidRPr="000F6EC0">
              <w:rPr>
                <w:rFonts w:ascii="Arial" w:eastAsia="Times New Roman" w:hAnsi="Arial" w:cs="Arial"/>
                <w:b/>
                <w:bCs/>
                <w:sz w:val="20"/>
                <w:szCs w:val="20"/>
                <w:lang w:val="es-MX"/>
              </w:rPr>
              <w:tab/>
            </w:r>
            <w:r w:rsidRPr="000F6EC0">
              <w:rPr>
                <w:rFonts w:ascii="Arial" w:eastAsia="Times New Roman" w:hAnsi="Arial" w:cs="Arial"/>
                <w:bCs/>
                <w:sz w:val="20"/>
                <w:szCs w:val="20"/>
                <w:lang w:val="es-MX"/>
              </w:rPr>
              <w:t xml:space="preserve">El resultado de multiplicar </w:t>
            </w:r>
            <w:r w:rsidRPr="000F6EC0">
              <w:rPr>
                <w:rFonts w:ascii="Arial" w:eastAsia="Times New Roman" w:hAnsi="Arial" w:cs="Arial"/>
                <w:b/>
                <w:bCs/>
                <w:sz w:val="20"/>
                <w:szCs w:val="20"/>
                <w:highlight w:val="yellow"/>
                <w:lang w:val="es-MX"/>
              </w:rPr>
              <w:t>0.</w:t>
            </w:r>
            <w:r w:rsidR="00D36910" w:rsidRPr="00D36910">
              <w:rPr>
                <w:rFonts w:ascii="Arial" w:eastAsia="Times New Roman" w:hAnsi="Arial" w:cs="Arial"/>
                <w:b/>
                <w:bCs/>
                <w:sz w:val="20"/>
                <w:szCs w:val="20"/>
                <w:highlight w:val="yellow"/>
                <w:lang w:val="es-MX"/>
              </w:rPr>
              <w:t>0</w:t>
            </w:r>
            <w:r w:rsidRPr="000F6EC0">
              <w:rPr>
                <w:rFonts w:ascii="Arial" w:eastAsia="Times New Roman" w:hAnsi="Arial" w:cs="Arial"/>
                <w:b/>
                <w:bCs/>
                <w:sz w:val="20"/>
                <w:szCs w:val="20"/>
                <w:highlight w:val="yellow"/>
                <w:lang w:val="es-MX"/>
              </w:rPr>
              <w:t>2500</w:t>
            </w:r>
            <w:r w:rsidRPr="000F6EC0">
              <w:rPr>
                <w:rFonts w:ascii="Arial" w:eastAsia="Times New Roman" w:hAnsi="Arial" w:cs="Arial"/>
                <w:bCs/>
                <w:sz w:val="20"/>
                <w:szCs w:val="20"/>
                <w:lang w:val="es-MX"/>
              </w:rPr>
              <w:t xml:space="preserve"> al millar, por el valor de su cartera de crédito</w:t>
            </w:r>
            <w:r w:rsidRPr="000F6EC0">
              <w:rPr>
                <w:rFonts w:ascii="Arial" w:eastAsia="Times New Roman" w:hAnsi="Arial" w:cs="Arial"/>
                <w:bCs/>
                <w:sz w:val="20"/>
                <w:szCs w:val="20"/>
                <w:lang w:val="es-MX"/>
              </w:rPr>
              <w:br/>
              <w:t>vencida, y</w:t>
            </w: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proofErr w:type="gramStart"/>
            <w:r w:rsidRPr="000F6EC0">
              <w:rPr>
                <w:rFonts w:ascii="Arial" w:eastAsia="Times New Roman" w:hAnsi="Arial" w:cs="Arial"/>
                <w:b/>
                <w:bCs/>
                <w:sz w:val="20"/>
                <w:szCs w:val="20"/>
                <w:lang w:val="es-MX"/>
              </w:rPr>
              <w:t>c)</w:t>
            </w:r>
            <w:proofErr w:type="gramEnd"/>
            <w:r w:rsidRPr="000F6EC0">
              <w:rPr>
                <w:rFonts w:ascii="Arial" w:eastAsia="Times New Roman" w:hAnsi="Arial" w:cs="Arial"/>
                <w:b/>
                <w:bCs/>
                <w:sz w:val="20"/>
                <w:szCs w:val="20"/>
                <w:lang w:val="es-MX"/>
              </w:rPr>
              <w:t>.</w:t>
            </w:r>
            <w:r w:rsidRPr="000F6EC0">
              <w:rPr>
                <w:rFonts w:ascii="Arial" w:eastAsia="Times New Roman" w:hAnsi="Arial" w:cs="Arial"/>
                <w:b/>
                <w:bCs/>
                <w:sz w:val="20"/>
                <w:szCs w:val="20"/>
                <w:lang w:val="es-MX"/>
              </w:rPr>
              <w:tab/>
            </w:r>
            <w:r w:rsidRPr="000F6EC0">
              <w:rPr>
                <w:rFonts w:ascii="Arial" w:eastAsia="Times New Roman" w:hAnsi="Arial" w:cs="Arial"/>
                <w:bCs/>
                <w:sz w:val="20"/>
                <w:szCs w:val="20"/>
                <w:lang w:val="es-MX"/>
              </w:rPr>
              <w:t xml:space="preserve">El resultado de multiplicar </w:t>
            </w:r>
            <w:r w:rsidRPr="000F6EC0">
              <w:rPr>
                <w:rFonts w:ascii="Arial" w:eastAsia="Times New Roman" w:hAnsi="Arial" w:cs="Arial"/>
                <w:b/>
                <w:bCs/>
                <w:sz w:val="20"/>
                <w:szCs w:val="20"/>
                <w:highlight w:val="yellow"/>
                <w:lang w:val="es-MX"/>
              </w:rPr>
              <w:t>0.</w:t>
            </w:r>
            <w:r w:rsidR="00D36910" w:rsidRPr="00D36910">
              <w:rPr>
                <w:rFonts w:ascii="Arial" w:eastAsia="Times New Roman" w:hAnsi="Arial" w:cs="Arial"/>
                <w:b/>
                <w:bCs/>
                <w:sz w:val="20"/>
                <w:szCs w:val="20"/>
                <w:highlight w:val="yellow"/>
                <w:lang w:val="es-MX"/>
              </w:rPr>
              <w:t>0</w:t>
            </w:r>
            <w:r w:rsidRPr="000F6EC0">
              <w:rPr>
                <w:rFonts w:ascii="Arial" w:eastAsia="Times New Roman" w:hAnsi="Arial" w:cs="Arial"/>
                <w:b/>
                <w:bCs/>
                <w:sz w:val="20"/>
                <w:szCs w:val="20"/>
                <w:highlight w:val="yellow"/>
                <w:lang w:val="es-MX"/>
              </w:rPr>
              <w:t>0080</w:t>
            </w:r>
            <w:r w:rsidRPr="000F6EC0">
              <w:rPr>
                <w:rFonts w:ascii="Arial" w:eastAsia="Times New Roman" w:hAnsi="Arial" w:cs="Arial"/>
                <w:bCs/>
                <w:sz w:val="20"/>
                <w:szCs w:val="20"/>
                <w:lang w:val="es-MX"/>
              </w:rPr>
              <w:t xml:space="preserve"> al millar, por el valor de su cartera de crédito menos las estimaciones preventivas para riesgos crediticios.</w:t>
            </w: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p>
          <w:p w:rsidR="000F6EC0" w:rsidRPr="000F6EC0" w:rsidRDefault="000F6EC0" w:rsidP="000F6EC0">
            <w:pPr>
              <w:tabs>
                <w:tab w:val="right" w:leader="dot" w:pos="8828"/>
              </w:tabs>
              <w:ind w:left="426" w:hanging="431"/>
              <w:jc w:val="both"/>
              <w:rPr>
                <w:rFonts w:ascii="Arial" w:eastAsia="Times New Roman" w:hAnsi="Arial" w:cs="Arial"/>
                <w:bCs/>
                <w:sz w:val="20"/>
                <w:szCs w:val="20"/>
                <w:lang w:val="es-MX"/>
              </w:rPr>
            </w:pPr>
            <w:r w:rsidRPr="000F6EC0">
              <w:rPr>
                <w:rFonts w:ascii="Arial" w:eastAsia="Times New Roman" w:hAnsi="Arial" w:cs="Arial"/>
                <w:bCs/>
                <w:sz w:val="20"/>
                <w:szCs w:val="20"/>
                <w:lang w:val="es-MX"/>
              </w:rPr>
              <w:tab/>
              <w:t xml:space="preserve">En caso de optar por pagar la cuota equivalente al resultado de la suma de las cantidades obtenidas de las operaciones contenidas en los incisos a), b) y c) anteriores, en ningún caso dicha cuota podrá ser inferior a </w:t>
            </w:r>
            <w:r w:rsidRPr="000F6EC0">
              <w:rPr>
                <w:rFonts w:ascii="Arial" w:eastAsia="Times New Roman" w:hAnsi="Arial" w:cs="Arial"/>
                <w:b/>
                <w:color w:val="000000"/>
                <w:sz w:val="20"/>
                <w:szCs w:val="20"/>
                <w:highlight w:val="yellow"/>
                <w:lang w:val="es-MX" w:eastAsia="es-MX"/>
              </w:rPr>
              <w:t>$</w:t>
            </w:r>
            <w:r w:rsidR="00D36910">
              <w:rPr>
                <w:rFonts w:ascii="Arial" w:eastAsia="Times New Roman" w:hAnsi="Arial" w:cs="Arial"/>
                <w:b/>
                <w:color w:val="000000"/>
                <w:sz w:val="20"/>
                <w:szCs w:val="20"/>
                <w:highlight w:val="yellow"/>
                <w:lang w:val="es-MX" w:eastAsia="es-MX"/>
              </w:rPr>
              <w:t>2</w:t>
            </w:r>
            <w:r w:rsidRPr="000F6EC0">
              <w:rPr>
                <w:rFonts w:ascii="Arial" w:eastAsia="Times New Roman" w:hAnsi="Arial" w:cs="Arial"/>
                <w:b/>
                <w:color w:val="000000"/>
                <w:sz w:val="20"/>
                <w:szCs w:val="20"/>
                <w:highlight w:val="yellow"/>
                <w:lang w:val="es-MX" w:eastAsia="es-MX"/>
              </w:rPr>
              <w:t>,265.80</w:t>
            </w:r>
            <w:r w:rsidRPr="000F6EC0">
              <w:rPr>
                <w:rFonts w:ascii="Arial" w:eastAsia="Times New Roman" w:hAnsi="Arial" w:cs="Arial"/>
                <w:b/>
                <w:color w:val="000000"/>
                <w:sz w:val="20"/>
                <w:szCs w:val="20"/>
                <w:lang w:val="es-MX" w:eastAsia="es-MX"/>
              </w:rPr>
              <w:t xml:space="preserve"> </w:t>
            </w:r>
            <w:r w:rsidRPr="000F6EC0">
              <w:rPr>
                <w:rFonts w:ascii="Arial" w:eastAsia="Times New Roman" w:hAnsi="Arial" w:cs="Arial"/>
                <w:bCs/>
                <w:sz w:val="20"/>
                <w:szCs w:val="20"/>
                <w:lang w:val="es-MX"/>
              </w:rPr>
              <w:t>por cada sociedad que supervise el Fondo de Supervisión Auxiliar de Sociedades Cooperativas de Ahorro y Préstamo y de Protección a sus Ahorradores.</w:t>
            </w:r>
          </w:p>
          <w:p w:rsidR="000F6EC0" w:rsidRPr="000F6EC0" w:rsidRDefault="000F6EC0">
            <w:pPr>
              <w:rPr>
                <w:b/>
                <w:bCs/>
                <w:sz w:val="23"/>
                <w:szCs w:val="23"/>
                <w:lang w:val="es-MX"/>
              </w:rPr>
            </w:pPr>
          </w:p>
        </w:tc>
        <w:tc>
          <w:tcPr>
            <w:tcW w:w="3075" w:type="dxa"/>
          </w:tcPr>
          <w:p w:rsidR="000F6EC0" w:rsidRDefault="000F6EC0">
            <w:pPr>
              <w:rPr>
                <w:rFonts w:ascii="Calibri" w:hAnsi="Calibri"/>
                <w:lang w:val="es-MX"/>
              </w:rPr>
            </w:pPr>
          </w:p>
          <w:p w:rsidR="00D36910" w:rsidRDefault="00D36910">
            <w:pPr>
              <w:rPr>
                <w:rFonts w:ascii="Calibri" w:hAnsi="Calibri"/>
                <w:lang w:val="es-MX"/>
              </w:rPr>
            </w:pPr>
          </w:p>
          <w:p w:rsidR="00D36910" w:rsidRDefault="00D36910">
            <w:pPr>
              <w:rPr>
                <w:rFonts w:ascii="Calibri" w:hAnsi="Calibri"/>
                <w:lang w:val="es-MX"/>
              </w:rPr>
            </w:pPr>
          </w:p>
          <w:p w:rsidR="00D36910" w:rsidRDefault="00D36910">
            <w:pPr>
              <w:rPr>
                <w:rFonts w:ascii="Calibri" w:hAnsi="Calibri"/>
                <w:lang w:val="es-MX"/>
              </w:rPr>
            </w:pPr>
          </w:p>
          <w:p w:rsidR="00D36910" w:rsidRDefault="00D36910">
            <w:pPr>
              <w:rPr>
                <w:rFonts w:ascii="Calibri" w:hAnsi="Calibri"/>
                <w:lang w:val="es-MX"/>
              </w:rPr>
            </w:pPr>
          </w:p>
          <w:p w:rsidR="00D36910" w:rsidRDefault="00D36910">
            <w:pPr>
              <w:rPr>
                <w:rFonts w:ascii="Calibri" w:hAnsi="Calibri"/>
                <w:lang w:val="es-MX"/>
              </w:rPr>
            </w:pPr>
          </w:p>
          <w:p w:rsidR="00D36910" w:rsidRDefault="00D36910">
            <w:pPr>
              <w:rPr>
                <w:rFonts w:ascii="Calibri" w:hAnsi="Calibri"/>
                <w:lang w:val="es-MX"/>
              </w:rPr>
            </w:pPr>
          </w:p>
          <w:p w:rsidR="00D36910" w:rsidRDefault="00DC09EB">
            <w:pPr>
              <w:rPr>
                <w:rFonts w:ascii="Calibri" w:hAnsi="Calibri"/>
                <w:lang w:val="es-MX"/>
              </w:rPr>
            </w:pPr>
            <w:r>
              <w:rPr>
                <w:rFonts w:ascii="Calibri" w:hAnsi="Calibri"/>
                <w:lang w:val="es-MX"/>
              </w:rPr>
              <w:t>Se propone reducir a un 10% el cobro de derechos en este año de incertidumbre financiera y que las finanzas estarán muy presionadas por el desempleo y la volatilidad internacional</w:t>
            </w:r>
          </w:p>
        </w:tc>
      </w:tr>
      <w:tr w:rsidR="00DC09EB" w:rsidRPr="00EC0111" w:rsidTr="00ED0ECA">
        <w:tc>
          <w:tcPr>
            <w:tcW w:w="5070" w:type="dxa"/>
          </w:tcPr>
          <w:p w:rsidR="00DC09EB" w:rsidRDefault="00DC09EB" w:rsidP="000F6EC0">
            <w:pPr>
              <w:pStyle w:val="TextoCar"/>
              <w:tabs>
                <w:tab w:val="right" w:leader="dot" w:pos="8828"/>
              </w:tabs>
              <w:spacing w:after="0" w:line="240" w:lineRule="auto"/>
              <w:ind w:firstLine="289"/>
              <w:rPr>
                <w:b/>
                <w:sz w:val="20"/>
                <w:lang w:val="es-ES_tradnl"/>
              </w:rPr>
            </w:pPr>
          </w:p>
          <w:p w:rsidR="00C170BA" w:rsidRDefault="00C170BA" w:rsidP="000F6EC0">
            <w:pPr>
              <w:pStyle w:val="TextoCar"/>
              <w:tabs>
                <w:tab w:val="right" w:leader="dot" w:pos="8828"/>
              </w:tabs>
              <w:spacing w:after="0" w:line="240" w:lineRule="auto"/>
              <w:ind w:firstLine="289"/>
              <w:rPr>
                <w:b/>
                <w:bCs/>
                <w:sz w:val="23"/>
                <w:szCs w:val="23"/>
              </w:rPr>
            </w:pPr>
            <w:r>
              <w:rPr>
                <w:b/>
                <w:bCs/>
                <w:sz w:val="23"/>
                <w:szCs w:val="23"/>
              </w:rPr>
              <w:t>LEY DEL IMPUESTO SOBRE LA RENTA</w:t>
            </w:r>
          </w:p>
          <w:p w:rsidR="00ED0ECA" w:rsidRDefault="00ED0ECA" w:rsidP="000F6EC0">
            <w:pPr>
              <w:pStyle w:val="TextoCar"/>
              <w:tabs>
                <w:tab w:val="right" w:leader="dot" w:pos="8828"/>
              </w:tabs>
              <w:spacing w:after="0" w:line="240" w:lineRule="auto"/>
              <w:ind w:firstLine="289"/>
              <w:rPr>
                <w:b/>
                <w:bCs/>
                <w:sz w:val="23"/>
                <w:szCs w:val="23"/>
              </w:rPr>
            </w:pPr>
          </w:p>
          <w:p w:rsidR="00ED0ECA" w:rsidRDefault="00ED0ECA" w:rsidP="00ED0ECA">
            <w:pPr>
              <w:pStyle w:val="Default"/>
              <w:rPr>
                <w:sz w:val="23"/>
                <w:szCs w:val="23"/>
              </w:rPr>
            </w:pPr>
            <w:r>
              <w:rPr>
                <w:b/>
                <w:bCs/>
                <w:sz w:val="23"/>
                <w:szCs w:val="23"/>
              </w:rPr>
              <w:t xml:space="preserve">Artículo 7. </w:t>
            </w:r>
            <w:r>
              <w:rPr>
                <w:sz w:val="23"/>
                <w:szCs w:val="23"/>
              </w:rPr>
              <w:lastRenderedPageBreak/>
              <w:t xml:space="preserve">…………………………………………….……………………………….. </w:t>
            </w:r>
          </w:p>
          <w:p w:rsidR="00ED0ECA" w:rsidRDefault="00ED0ECA" w:rsidP="00ED0ECA">
            <w:pPr>
              <w:pStyle w:val="TextoCar"/>
              <w:tabs>
                <w:tab w:val="right" w:leader="dot" w:pos="8828"/>
              </w:tabs>
              <w:spacing w:after="0" w:line="240" w:lineRule="auto"/>
              <w:ind w:firstLine="289"/>
              <w:rPr>
                <w:sz w:val="23"/>
                <w:szCs w:val="23"/>
              </w:rPr>
            </w:pPr>
            <w:r>
              <w:rPr>
                <w:sz w:val="23"/>
                <w:szCs w:val="23"/>
              </w:rPr>
              <w:t>El sistema financiero, para los efectos de esta Ley, se compone por el Banco de México, las instituciones de crédito, de seguros y de fianzas, sociedades</w:t>
            </w:r>
            <w:r>
              <w:rPr>
                <w:sz w:val="23"/>
                <w:szCs w:val="23"/>
              </w:rPr>
              <w:t xml:space="preserve"> </w:t>
            </w:r>
            <w:r>
              <w:rPr>
                <w:sz w:val="23"/>
                <w:szCs w:val="23"/>
              </w:rPr>
              <w:t xml:space="preserve">controladoras de grupos financieros, almacenes generales de depósito, administradoras de fondos para el retiro, arrendadoras financieras, uniones de crédito, sociedades financieras populares, fondos de inversión de renta variable, fondos de inversión en instrumentos de deuda, empresas de factoraje financiero, casas de bolsa, y casas de cambio, que sean residentes en México o en el extranjero. Se considerarán integrantes del sistema financiero a las sociedades financieras de objeto múltiple a las que se refiere la Ley General de Organizaciones y Actividades Auxiliares del Crédito que tengan cuentas y documentos por cobrar derivados de las actividades que deben constituir su objeto social principal, conforme a lo dispuesto en dicha Ley, que representen al menos el 70% de sus activos totales, o bien, que tengan ingresos derivados de dichas actividades y de la enajenación o administración de los créditos otorgados por ellas, que representen al menos el 70% de sus ingresos totales. Para los efectos de la determinación del porcentaje del 70%, no se considerarán los activos o ingresos que deriven de la enajenación a crédito de bienes o servicios de las propias sociedades, de las enajenaciones que se efectúen con </w:t>
            </w:r>
            <w:r>
              <w:rPr>
                <w:sz w:val="23"/>
                <w:szCs w:val="23"/>
              </w:rPr>
              <w:lastRenderedPageBreak/>
              <w:t>cargo a tarjetas de crédito o financiamientos otorgados por terceros.</w:t>
            </w:r>
          </w:p>
          <w:p w:rsidR="00ED0ECA" w:rsidRDefault="00ED0ECA" w:rsidP="00ED0ECA">
            <w:pPr>
              <w:pStyle w:val="TextoCar"/>
              <w:tabs>
                <w:tab w:val="right" w:leader="dot" w:pos="8828"/>
              </w:tabs>
              <w:spacing w:after="0" w:line="240" w:lineRule="auto"/>
              <w:rPr>
                <w:sz w:val="23"/>
                <w:szCs w:val="23"/>
              </w:rPr>
            </w:pPr>
          </w:p>
          <w:p w:rsidR="00ED0ECA" w:rsidRDefault="00ED0ECA" w:rsidP="00ED0ECA">
            <w:pPr>
              <w:pStyle w:val="TextoCar"/>
              <w:tabs>
                <w:tab w:val="right" w:leader="dot" w:pos="8828"/>
              </w:tabs>
              <w:spacing w:after="0" w:line="240" w:lineRule="auto"/>
              <w:rPr>
                <w:sz w:val="23"/>
                <w:szCs w:val="23"/>
              </w:rPr>
            </w:pPr>
          </w:p>
          <w:p w:rsidR="00ED0ECA" w:rsidRDefault="00ED0ECA" w:rsidP="00ED0ECA">
            <w:pPr>
              <w:pStyle w:val="TextoCar"/>
              <w:tabs>
                <w:tab w:val="right" w:leader="dot" w:pos="8828"/>
              </w:tabs>
              <w:spacing w:after="0" w:line="240" w:lineRule="auto"/>
              <w:rPr>
                <w:sz w:val="23"/>
                <w:szCs w:val="23"/>
              </w:rPr>
            </w:pPr>
          </w:p>
          <w:p w:rsidR="00ED0ECA" w:rsidRDefault="00ED0ECA" w:rsidP="00ED0ECA">
            <w:pPr>
              <w:pStyle w:val="TextoCar"/>
              <w:tabs>
                <w:tab w:val="right" w:leader="dot" w:pos="8828"/>
              </w:tabs>
              <w:spacing w:after="0" w:line="240" w:lineRule="auto"/>
              <w:rPr>
                <w:sz w:val="23"/>
                <w:szCs w:val="23"/>
              </w:rPr>
            </w:pPr>
          </w:p>
          <w:p w:rsidR="00ED0ECA" w:rsidRDefault="00ED0ECA" w:rsidP="00ED0ECA">
            <w:pPr>
              <w:pStyle w:val="TextoCar"/>
              <w:tabs>
                <w:tab w:val="right" w:leader="dot" w:pos="8828"/>
              </w:tabs>
              <w:spacing w:after="0" w:line="240" w:lineRule="auto"/>
              <w:rPr>
                <w:sz w:val="23"/>
                <w:szCs w:val="23"/>
              </w:rPr>
            </w:pPr>
          </w:p>
          <w:p w:rsidR="00ED0ECA" w:rsidRDefault="00ED0ECA" w:rsidP="00ED0ECA">
            <w:pPr>
              <w:pStyle w:val="TextoCar"/>
              <w:tabs>
                <w:tab w:val="right" w:leader="dot" w:pos="8828"/>
              </w:tabs>
              <w:spacing w:after="0" w:line="240" w:lineRule="auto"/>
              <w:rPr>
                <w:sz w:val="23"/>
                <w:szCs w:val="23"/>
              </w:rPr>
            </w:pPr>
          </w:p>
          <w:p w:rsidR="00ED0ECA" w:rsidRDefault="00ED0ECA" w:rsidP="00ED0ECA">
            <w:pPr>
              <w:pStyle w:val="TextoCar"/>
              <w:tabs>
                <w:tab w:val="right" w:leader="dot" w:pos="8828"/>
              </w:tabs>
              <w:spacing w:after="0" w:line="240" w:lineRule="auto"/>
              <w:rPr>
                <w:sz w:val="23"/>
                <w:szCs w:val="23"/>
              </w:rPr>
            </w:pPr>
          </w:p>
          <w:p w:rsidR="00ED0ECA" w:rsidRDefault="00ED0ECA" w:rsidP="00ED0ECA">
            <w:pPr>
              <w:pStyle w:val="TextoCar"/>
              <w:tabs>
                <w:tab w:val="right" w:leader="dot" w:pos="8828"/>
              </w:tabs>
              <w:spacing w:after="0" w:line="240" w:lineRule="auto"/>
              <w:rPr>
                <w:sz w:val="23"/>
                <w:szCs w:val="23"/>
              </w:rPr>
            </w:pPr>
          </w:p>
          <w:p w:rsidR="00ED0ECA" w:rsidRDefault="00ED0ECA" w:rsidP="00ED0ECA">
            <w:pPr>
              <w:pStyle w:val="TextoCar"/>
              <w:tabs>
                <w:tab w:val="right" w:leader="dot" w:pos="8828"/>
              </w:tabs>
              <w:spacing w:after="0" w:line="240" w:lineRule="auto"/>
              <w:rPr>
                <w:sz w:val="23"/>
                <w:szCs w:val="23"/>
              </w:rPr>
            </w:pPr>
          </w:p>
          <w:p w:rsidR="00ED0ECA" w:rsidRDefault="00ED0ECA" w:rsidP="00ED0ECA">
            <w:pPr>
              <w:pStyle w:val="TextoCar"/>
              <w:tabs>
                <w:tab w:val="right" w:leader="dot" w:pos="8828"/>
              </w:tabs>
              <w:spacing w:after="0" w:line="240" w:lineRule="auto"/>
              <w:rPr>
                <w:sz w:val="23"/>
                <w:szCs w:val="23"/>
              </w:rPr>
            </w:pPr>
          </w:p>
          <w:p w:rsidR="00ED0ECA" w:rsidRDefault="00ED0ECA" w:rsidP="00ED0ECA">
            <w:pPr>
              <w:pStyle w:val="TextoCar"/>
              <w:tabs>
                <w:tab w:val="right" w:leader="dot" w:pos="8828"/>
              </w:tabs>
              <w:spacing w:after="0" w:line="240" w:lineRule="auto"/>
              <w:rPr>
                <w:sz w:val="23"/>
                <w:szCs w:val="23"/>
              </w:rPr>
            </w:pPr>
          </w:p>
          <w:p w:rsidR="00ED0ECA" w:rsidRDefault="00ED0ECA" w:rsidP="00ED0ECA">
            <w:pPr>
              <w:pStyle w:val="TextoCar"/>
              <w:tabs>
                <w:tab w:val="right" w:leader="dot" w:pos="8828"/>
              </w:tabs>
              <w:spacing w:after="0" w:line="240" w:lineRule="auto"/>
              <w:rPr>
                <w:sz w:val="23"/>
                <w:szCs w:val="23"/>
              </w:rPr>
            </w:pPr>
            <w:r>
              <w:rPr>
                <w:sz w:val="23"/>
                <w:szCs w:val="23"/>
              </w:rPr>
              <w:t>…</w:t>
            </w:r>
          </w:p>
          <w:p w:rsidR="00ED0ECA" w:rsidRPr="00DC09EB" w:rsidRDefault="00ED0ECA" w:rsidP="00ED0ECA">
            <w:pPr>
              <w:pStyle w:val="TextoCar"/>
              <w:tabs>
                <w:tab w:val="right" w:leader="dot" w:pos="8828"/>
              </w:tabs>
              <w:spacing w:after="0" w:line="240" w:lineRule="auto"/>
              <w:rPr>
                <w:b/>
                <w:sz w:val="20"/>
                <w:lang w:val="es-ES_tradnl"/>
              </w:rPr>
            </w:pPr>
          </w:p>
        </w:tc>
        <w:tc>
          <w:tcPr>
            <w:tcW w:w="5077" w:type="dxa"/>
          </w:tcPr>
          <w:p w:rsidR="00DC09EB" w:rsidRDefault="00DC09EB" w:rsidP="000F6EC0">
            <w:pPr>
              <w:pStyle w:val="TextoCar"/>
              <w:tabs>
                <w:tab w:val="right" w:leader="dot" w:pos="8828"/>
              </w:tabs>
              <w:spacing w:after="0" w:line="240" w:lineRule="auto"/>
              <w:ind w:firstLine="289"/>
              <w:rPr>
                <w:b/>
                <w:sz w:val="20"/>
                <w:lang w:val="es-MX"/>
              </w:rPr>
            </w:pPr>
          </w:p>
          <w:p w:rsidR="005E6443" w:rsidRDefault="005E6443" w:rsidP="005E6443">
            <w:pPr>
              <w:pStyle w:val="TextoCar"/>
              <w:tabs>
                <w:tab w:val="right" w:leader="dot" w:pos="8828"/>
              </w:tabs>
              <w:spacing w:after="0" w:line="240" w:lineRule="auto"/>
              <w:ind w:firstLine="289"/>
              <w:rPr>
                <w:b/>
                <w:bCs/>
                <w:sz w:val="23"/>
                <w:szCs w:val="23"/>
              </w:rPr>
            </w:pPr>
            <w:r>
              <w:rPr>
                <w:b/>
                <w:bCs/>
                <w:sz w:val="23"/>
                <w:szCs w:val="23"/>
              </w:rPr>
              <w:t>LEY DEL IMPUESTO SOBRE LA RENTA</w:t>
            </w: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r>
              <w:rPr>
                <w:b/>
                <w:sz w:val="20"/>
                <w:lang w:val="es-MX"/>
              </w:rPr>
              <w:t>…</w:t>
            </w: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Default="00ED0ECA" w:rsidP="000F6EC0">
            <w:pPr>
              <w:pStyle w:val="TextoCar"/>
              <w:tabs>
                <w:tab w:val="right" w:leader="dot" w:pos="8828"/>
              </w:tabs>
              <w:spacing w:after="0" w:line="240" w:lineRule="auto"/>
              <w:ind w:firstLine="289"/>
              <w:rPr>
                <w:b/>
                <w:sz w:val="20"/>
                <w:lang w:val="es-MX"/>
              </w:rPr>
            </w:pPr>
          </w:p>
          <w:p w:rsidR="00ED0ECA" w:rsidRPr="00ED0ECA" w:rsidRDefault="00ED0ECA" w:rsidP="000F6EC0">
            <w:pPr>
              <w:pStyle w:val="TextoCar"/>
              <w:tabs>
                <w:tab w:val="right" w:leader="dot" w:pos="8828"/>
              </w:tabs>
              <w:spacing w:after="0" w:line="240" w:lineRule="auto"/>
              <w:ind w:firstLine="289"/>
              <w:rPr>
                <w:b/>
                <w:sz w:val="24"/>
                <w:szCs w:val="24"/>
                <w:lang w:val="es-MX"/>
              </w:rPr>
            </w:pPr>
          </w:p>
          <w:p w:rsidR="00ED0ECA" w:rsidRPr="00ED0ECA" w:rsidRDefault="00ED0ECA" w:rsidP="000F6EC0">
            <w:pPr>
              <w:pStyle w:val="TextoCar"/>
              <w:tabs>
                <w:tab w:val="right" w:leader="dot" w:pos="8828"/>
              </w:tabs>
              <w:spacing w:after="0" w:line="240" w:lineRule="auto"/>
              <w:ind w:firstLine="289"/>
              <w:rPr>
                <w:b/>
                <w:sz w:val="24"/>
                <w:szCs w:val="24"/>
                <w:lang w:val="es-MX"/>
              </w:rPr>
            </w:pPr>
          </w:p>
          <w:p w:rsidR="005E6443" w:rsidRDefault="005E6443" w:rsidP="00ED0ECA">
            <w:pPr>
              <w:pStyle w:val="Sinespaciado"/>
              <w:spacing w:line="276" w:lineRule="auto"/>
              <w:jc w:val="both"/>
              <w:rPr>
                <w:rFonts w:ascii="Arial" w:eastAsia="Times New Roman" w:hAnsi="Arial" w:cs="Arial"/>
                <w:b/>
                <w:bCs/>
                <w:lang w:val="es-MX" w:eastAsia="es-ES"/>
              </w:rPr>
            </w:pPr>
          </w:p>
          <w:p w:rsidR="00ED0ECA" w:rsidRPr="005E6443" w:rsidRDefault="00ED0ECA" w:rsidP="00ED0ECA">
            <w:pPr>
              <w:pStyle w:val="Sinespaciado"/>
              <w:spacing w:line="276" w:lineRule="auto"/>
              <w:jc w:val="both"/>
              <w:rPr>
                <w:rFonts w:ascii="Arial" w:eastAsia="Times New Roman" w:hAnsi="Arial" w:cs="Arial"/>
                <w:lang w:val="es-MX" w:eastAsia="es-ES"/>
              </w:rPr>
            </w:pPr>
            <w:r w:rsidRPr="005E6443">
              <w:rPr>
                <w:rFonts w:ascii="Arial" w:eastAsia="Times New Roman" w:hAnsi="Arial" w:cs="Arial"/>
                <w:b/>
                <w:bCs/>
                <w:lang w:val="es-MX" w:eastAsia="es-ES"/>
              </w:rPr>
              <w:t xml:space="preserve">Las Cooperativas de Ahorro y préstamo también forman parte del sistema financiero mexicano, pero con el carácter de integrantes del sector social sin ánimo especulativo y reconociendo que no son intermediarios financieros con fines de lucro. </w:t>
            </w:r>
          </w:p>
          <w:p w:rsidR="00ED0ECA" w:rsidRPr="008530F6" w:rsidRDefault="00ED0ECA" w:rsidP="000F6EC0">
            <w:pPr>
              <w:pStyle w:val="TextoCar"/>
              <w:tabs>
                <w:tab w:val="right" w:leader="dot" w:pos="8828"/>
              </w:tabs>
              <w:spacing w:after="0" w:line="240" w:lineRule="auto"/>
              <w:ind w:firstLine="289"/>
              <w:rPr>
                <w:b/>
                <w:sz w:val="20"/>
                <w:lang w:val="es-MX"/>
              </w:rPr>
            </w:pPr>
            <w:r w:rsidRPr="00ED0ECA">
              <w:rPr>
                <w:b/>
                <w:sz w:val="24"/>
                <w:szCs w:val="24"/>
                <w:lang w:val="es-MX"/>
              </w:rPr>
              <w:t>…</w:t>
            </w:r>
          </w:p>
        </w:tc>
        <w:tc>
          <w:tcPr>
            <w:tcW w:w="3075" w:type="dxa"/>
          </w:tcPr>
          <w:p w:rsidR="00DC09EB" w:rsidRDefault="00DC09EB">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Calibri" w:hAnsi="Calibri"/>
                <w:lang w:val="es-MX"/>
              </w:rPr>
            </w:pPr>
          </w:p>
          <w:p w:rsidR="00ED0ECA" w:rsidRDefault="00ED0ECA">
            <w:pPr>
              <w:rPr>
                <w:rFonts w:asciiTheme="majorHAnsi" w:eastAsia="Times New Roman" w:hAnsiTheme="majorHAnsi"/>
                <w:b/>
                <w:color w:val="002060"/>
              </w:rPr>
            </w:pPr>
          </w:p>
          <w:p w:rsidR="00ED0ECA" w:rsidRPr="00ED0ECA" w:rsidRDefault="00ED0ECA">
            <w:pPr>
              <w:rPr>
                <w:rFonts w:ascii="Calibri" w:hAnsi="Calibri"/>
                <w:lang w:val="es-MX"/>
              </w:rPr>
            </w:pPr>
            <w:r w:rsidRPr="00ED0ECA">
              <w:rPr>
                <w:rFonts w:asciiTheme="majorHAnsi" w:eastAsia="Times New Roman" w:hAnsiTheme="majorHAnsi"/>
                <w:b/>
                <w:color w:val="002060"/>
              </w:rPr>
              <w:t>Se propone agregar un sexto párrafo al artículo 7 de la Ley, para contemplar a las Cooperativas como sistema financiero pero como integrante del sector social</w:t>
            </w:r>
          </w:p>
        </w:tc>
      </w:tr>
      <w:tr w:rsidR="00ED0ECA" w:rsidRPr="00EC0111" w:rsidTr="00ED0ECA">
        <w:tc>
          <w:tcPr>
            <w:tcW w:w="5070" w:type="dxa"/>
          </w:tcPr>
          <w:p w:rsidR="00CE6929" w:rsidRPr="00CE6929" w:rsidRDefault="00CE6929" w:rsidP="00CE6929">
            <w:pPr>
              <w:spacing w:after="101" w:line="236" w:lineRule="exact"/>
              <w:ind w:firstLine="288"/>
              <w:jc w:val="both"/>
              <w:rPr>
                <w:rFonts w:ascii="Arial" w:eastAsia="Times New Roman" w:hAnsi="Arial" w:cs="Arial"/>
                <w:sz w:val="18"/>
                <w:lang w:val="es-ES"/>
              </w:rPr>
            </w:pPr>
            <w:r w:rsidRPr="00CE6929">
              <w:rPr>
                <w:rFonts w:ascii="Arial" w:eastAsia="Times New Roman" w:hAnsi="Arial" w:cs="Arial"/>
                <w:b/>
                <w:sz w:val="18"/>
                <w:lang w:val="es-ES"/>
              </w:rPr>
              <w:lastRenderedPageBreak/>
              <w:t>Artículo 54.</w:t>
            </w:r>
            <w:r w:rsidRPr="00CE6929">
              <w:rPr>
                <w:rFonts w:ascii="Arial" w:eastAsia="Times New Roman" w:hAnsi="Arial" w:cs="Arial"/>
                <w:sz w:val="18"/>
                <w:lang w:val="es-ES"/>
              </w:rPr>
              <w:t xml:space="preserve"> Las instituciones que componen el sistema financiero que efectúen pagos por intereses, deberán retener y enterar el impuesto aplicando la tasa que al efecto establezca el Congreso de la Unión para el ejercicio de que se trate en la Ley de Ingresos de la Federación sobre el monto del capital que dé lugar al pago de los intereses, como pago provisional. La retención se enterará ante las oficinas autorizadas, a más tardar el día 17 del mes inmediato siguiente a aquél al que corresponda, y se deberá expedir comprobante fiscal en el que conste el monto del pago de los intereses, así como el impuesto retenido.</w:t>
            </w:r>
          </w:p>
          <w:p w:rsidR="00ED0ECA" w:rsidRPr="00CE6929" w:rsidRDefault="00CE6929" w:rsidP="000F6EC0">
            <w:pPr>
              <w:pStyle w:val="TextoCar"/>
              <w:tabs>
                <w:tab w:val="right" w:leader="dot" w:pos="8828"/>
              </w:tabs>
              <w:spacing w:after="0" w:line="240" w:lineRule="auto"/>
              <w:ind w:firstLine="289"/>
              <w:rPr>
                <w:b/>
                <w:sz w:val="20"/>
              </w:rPr>
            </w:pPr>
            <w:r>
              <w:rPr>
                <w:b/>
                <w:sz w:val="20"/>
              </w:rPr>
              <w:t>…</w:t>
            </w:r>
          </w:p>
        </w:tc>
        <w:tc>
          <w:tcPr>
            <w:tcW w:w="5077" w:type="dxa"/>
          </w:tcPr>
          <w:p w:rsidR="00ED0ECA" w:rsidRDefault="00ED0ECA" w:rsidP="000F6EC0">
            <w:pPr>
              <w:pStyle w:val="TextoCar"/>
              <w:tabs>
                <w:tab w:val="right" w:leader="dot" w:pos="8828"/>
              </w:tabs>
              <w:spacing w:after="0" w:line="240" w:lineRule="auto"/>
              <w:ind w:firstLine="289"/>
              <w:rPr>
                <w:b/>
                <w:sz w:val="20"/>
                <w:lang w:val="es-MX"/>
              </w:rPr>
            </w:pPr>
          </w:p>
          <w:p w:rsidR="00CE6929" w:rsidRDefault="00CE6929" w:rsidP="000F6EC0">
            <w:pPr>
              <w:pStyle w:val="TextoCar"/>
              <w:tabs>
                <w:tab w:val="right" w:leader="dot" w:pos="8828"/>
              </w:tabs>
              <w:spacing w:after="0" w:line="240" w:lineRule="auto"/>
              <w:ind w:firstLine="289"/>
              <w:rPr>
                <w:b/>
                <w:sz w:val="20"/>
                <w:lang w:val="es-MX"/>
              </w:rPr>
            </w:pPr>
          </w:p>
          <w:p w:rsidR="00CE6929" w:rsidRDefault="00CE6929" w:rsidP="000F6EC0">
            <w:pPr>
              <w:pStyle w:val="TextoCar"/>
              <w:tabs>
                <w:tab w:val="right" w:leader="dot" w:pos="8828"/>
              </w:tabs>
              <w:spacing w:after="0" w:line="240" w:lineRule="auto"/>
              <w:ind w:firstLine="289"/>
              <w:rPr>
                <w:b/>
                <w:sz w:val="20"/>
                <w:lang w:val="es-MX"/>
              </w:rPr>
            </w:pPr>
          </w:p>
          <w:p w:rsidR="00CE6929" w:rsidRDefault="00CE6929" w:rsidP="000F6EC0">
            <w:pPr>
              <w:pStyle w:val="TextoCar"/>
              <w:tabs>
                <w:tab w:val="right" w:leader="dot" w:pos="8828"/>
              </w:tabs>
              <w:spacing w:after="0" w:line="240" w:lineRule="auto"/>
              <w:ind w:firstLine="289"/>
              <w:rPr>
                <w:b/>
                <w:sz w:val="20"/>
                <w:lang w:val="es-MX"/>
              </w:rPr>
            </w:pPr>
          </w:p>
          <w:p w:rsidR="00CE6929" w:rsidRDefault="00CE6929" w:rsidP="000F6EC0">
            <w:pPr>
              <w:pStyle w:val="TextoCar"/>
              <w:tabs>
                <w:tab w:val="right" w:leader="dot" w:pos="8828"/>
              </w:tabs>
              <w:spacing w:after="0" w:line="240" w:lineRule="auto"/>
              <w:ind w:firstLine="289"/>
              <w:rPr>
                <w:b/>
                <w:sz w:val="20"/>
                <w:lang w:val="es-MX"/>
              </w:rPr>
            </w:pPr>
          </w:p>
          <w:p w:rsidR="00CE6929" w:rsidRDefault="00CE6929" w:rsidP="000F6EC0">
            <w:pPr>
              <w:pStyle w:val="TextoCar"/>
              <w:tabs>
                <w:tab w:val="right" w:leader="dot" w:pos="8828"/>
              </w:tabs>
              <w:spacing w:after="0" w:line="240" w:lineRule="auto"/>
              <w:ind w:firstLine="289"/>
              <w:rPr>
                <w:b/>
                <w:sz w:val="20"/>
                <w:lang w:val="es-MX"/>
              </w:rPr>
            </w:pPr>
          </w:p>
          <w:p w:rsidR="00CE6929" w:rsidRDefault="00CE6929" w:rsidP="000F6EC0">
            <w:pPr>
              <w:pStyle w:val="TextoCar"/>
              <w:tabs>
                <w:tab w:val="right" w:leader="dot" w:pos="8828"/>
              </w:tabs>
              <w:spacing w:after="0" w:line="240" w:lineRule="auto"/>
              <w:ind w:firstLine="289"/>
              <w:rPr>
                <w:b/>
                <w:sz w:val="20"/>
                <w:lang w:val="es-MX"/>
              </w:rPr>
            </w:pPr>
          </w:p>
          <w:p w:rsidR="00CE6929" w:rsidRDefault="00CE6929" w:rsidP="000F6EC0">
            <w:pPr>
              <w:pStyle w:val="TextoCar"/>
              <w:tabs>
                <w:tab w:val="right" w:leader="dot" w:pos="8828"/>
              </w:tabs>
              <w:spacing w:after="0" w:line="240" w:lineRule="auto"/>
              <w:ind w:firstLine="289"/>
              <w:rPr>
                <w:b/>
                <w:sz w:val="20"/>
                <w:lang w:val="es-MX"/>
              </w:rPr>
            </w:pPr>
          </w:p>
          <w:p w:rsidR="00CE6929" w:rsidRDefault="00CE6929" w:rsidP="000F6EC0">
            <w:pPr>
              <w:pStyle w:val="TextoCar"/>
              <w:tabs>
                <w:tab w:val="right" w:leader="dot" w:pos="8828"/>
              </w:tabs>
              <w:spacing w:after="0" w:line="240" w:lineRule="auto"/>
              <w:ind w:firstLine="289"/>
              <w:rPr>
                <w:b/>
                <w:sz w:val="20"/>
                <w:lang w:val="es-MX"/>
              </w:rPr>
            </w:pPr>
          </w:p>
          <w:p w:rsidR="00CE6929" w:rsidRDefault="00CE6929" w:rsidP="000F6EC0">
            <w:pPr>
              <w:pStyle w:val="TextoCar"/>
              <w:tabs>
                <w:tab w:val="right" w:leader="dot" w:pos="8828"/>
              </w:tabs>
              <w:spacing w:after="0" w:line="240" w:lineRule="auto"/>
              <w:ind w:firstLine="289"/>
              <w:rPr>
                <w:b/>
                <w:sz w:val="20"/>
                <w:lang w:val="es-MX"/>
              </w:rPr>
            </w:pPr>
          </w:p>
          <w:p w:rsidR="00CE6929" w:rsidRDefault="00CE6929" w:rsidP="000F6EC0">
            <w:pPr>
              <w:pStyle w:val="TextoCar"/>
              <w:tabs>
                <w:tab w:val="right" w:leader="dot" w:pos="8828"/>
              </w:tabs>
              <w:spacing w:after="0" w:line="240" w:lineRule="auto"/>
              <w:ind w:firstLine="289"/>
              <w:rPr>
                <w:b/>
                <w:sz w:val="20"/>
                <w:lang w:val="es-MX"/>
              </w:rPr>
            </w:pPr>
          </w:p>
          <w:p w:rsidR="00CE6929" w:rsidRDefault="00CE6929" w:rsidP="000F6EC0">
            <w:pPr>
              <w:pStyle w:val="TextoCar"/>
              <w:tabs>
                <w:tab w:val="right" w:leader="dot" w:pos="8828"/>
              </w:tabs>
              <w:spacing w:after="0" w:line="240" w:lineRule="auto"/>
              <w:ind w:firstLine="289"/>
              <w:rPr>
                <w:b/>
                <w:sz w:val="20"/>
                <w:lang w:val="es-MX"/>
              </w:rPr>
            </w:pPr>
          </w:p>
          <w:p w:rsidR="00CE6929" w:rsidRDefault="00CE6929" w:rsidP="000F6EC0">
            <w:pPr>
              <w:pStyle w:val="TextoCar"/>
              <w:tabs>
                <w:tab w:val="right" w:leader="dot" w:pos="8828"/>
              </w:tabs>
              <w:spacing w:after="0" w:line="240" w:lineRule="auto"/>
              <w:ind w:firstLine="289"/>
              <w:rPr>
                <w:b/>
                <w:sz w:val="20"/>
                <w:lang w:val="es-MX"/>
              </w:rPr>
            </w:pPr>
          </w:p>
          <w:p w:rsidR="00CE6929" w:rsidRDefault="00CE6929" w:rsidP="000F6EC0">
            <w:pPr>
              <w:pStyle w:val="TextoCar"/>
              <w:tabs>
                <w:tab w:val="right" w:leader="dot" w:pos="8828"/>
              </w:tabs>
              <w:spacing w:after="0" w:line="240" w:lineRule="auto"/>
              <w:ind w:firstLine="289"/>
              <w:rPr>
                <w:b/>
                <w:sz w:val="20"/>
                <w:lang w:val="es-MX"/>
              </w:rPr>
            </w:pPr>
          </w:p>
          <w:p w:rsidR="00CE6929" w:rsidRPr="00CE6929" w:rsidRDefault="00CE6929" w:rsidP="000F6EC0">
            <w:pPr>
              <w:pStyle w:val="TextoCar"/>
              <w:tabs>
                <w:tab w:val="right" w:leader="dot" w:pos="8828"/>
              </w:tabs>
              <w:spacing w:after="0" w:line="240" w:lineRule="auto"/>
              <w:ind w:firstLine="289"/>
              <w:rPr>
                <w:b/>
                <w:sz w:val="20"/>
                <w:lang w:val="es-MX"/>
              </w:rPr>
            </w:pPr>
            <w:r w:rsidRPr="00CE6929">
              <w:rPr>
                <w:b/>
                <w:sz w:val="20"/>
                <w:lang w:val="es-MX"/>
              </w:rPr>
              <w:t>VII. Los intereses que se paguen a las sociedades cooperativas de ahorro y préstamo y sus organismos de integración a que se refiere la Ley General de Sociedades Cooperativas de Ahorro y Préstamo.</w:t>
            </w:r>
          </w:p>
        </w:tc>
        <w:tc>
          <w:tcPr>
            <w:tcW w:w="3075" w:type="dxa"/>
          </w:tcPr>
          <w:p w:rsidR="00ED0ECA" w:rsidRDefault="00ED0ECA">
            <w:pPr>
              <w:rPr>
                <w:rFonts w:ascii="Calibri" w:hAnsi="Calibri"/>
                <w:lang w:val="es-MX"/>
              </w:rPr>
            </w:pPr>
          </w:p>
          <w:p w:rsidR="00CE6929" w:rsidRDefault="00CE6929">
            <w:pPr>
              <w:rPr>
                <w:rFonts w:ascii="Calibri" w:hAnsi="Calibri"/>
                <w:lang w:val="es-MX"/>
              </w:rPr>
            </w:pPr>
          </w:p>
          <w:p w:rsidR="00CE6929" w:rsidRDefault="00CE6929">
            <w:pPr>
              <w:rPr>
                <w:rFonts w:ascii="Calibri" w:hAnsi="Calibri"/>
                <w:lang w:val="es-MX"/>
              </w:rPr>
            </w:pPr>
          </w:p>
          <w:p w:rsidR="00CE6929" w:rsidRDefault="00CE6929">
            <w:pPr>
              <w:rPr>
                <w:rFonts w:ascii="Calibri" w:hAnsi="Calibri"/>
                <w:lang w:val="es-MX"/>
              </w:rPr>
            </w:pPr>
          </w:p>
          <w:p w:rsidR="00CE6929" w:rsidRDefault="00CE6929">
            <w:pPr>
              <w:rPr>
                <w:rFonts w:ascii="Calibri" w:hAnsi="Calibri"/>
                <w:lang w:val="es-MX"/>
              </w:rPr>
            </w:pPr>
          </w:p>
          <w:p w:rsidR="00CE6929" w:rsidRDefault="00CE6929">
            <w:pPr>
              <w:rPr>
                <w:rFonts w:ascii="Calibri" w:hAnsi="Calibri"/>
                <w:lang w:val="es-MX"/>
              </w:rPr>
            </w:pPr>
          </w:p>
          <w:p w:rsidR="00CE6929" w:rsidRDefault="00CE6929">
            <w:pPr>
              <w:rPr>
                <w:rFonts w:ascii="Calibri" w:hAnsi="Calibri"/>
                <w:lang w:val="es-MX"/>
              </w:rPr>
            </w:pPr>
          </w:p>
          <w:p w:rsidR="00CE6929" w:rsidRDefault="00CE6929">
            <w:pPr>
              <w:rPr>
                <w:rFonts w:ascii="Calibri" w:hAnsi="Calibri"/>
                <w:lang w:val="es-MX"/>
              </w:rPr>
            </w:pPr>
          </w:p>
          <w:p w:rsidR="00CE6929" w:rsidRDefault="00CE6929">
            <w:pPr>
              <w:rPr>
                <w:rFonts w:ascii="Calibri" w:hAnsi="Calibri"/>
                <w:lang w:val="es-MX"/>
              </w:rPr>
            </w:pPr>
          </w:p>
          <w:p w:rsidR="00CE6929" w:rsidRDefault="00CE6929">
            <w:pPr>
              <w:rPr>
                <w:rFonts w:ascii="Calibri" w:hAnsi="Calibri"/>
                <w:lang w:val="es-MX"/>
              </w:rPr>
            </w:pPr>
          </w:p>
          <w:p w:rsidR="00CE6929" w:rsidRDefault="00CE6929">
            <w:pPr>
              <w:rPr>
                <w:rFonts w:ascii="Calibri" w:hAnsi="Calibri"/>
                <w:lang w:val="es-MX"/>
              </w:rPr>
            </w:pPr>
          </w:p>
          <w:p w:rsidR="00CE6929" w:rsidRDefault="00CE6929">
            <w:pPr>
              <w:rPr>
                <w:rFonts w:ascii="Calibri" w:hAnsi="Calibri"/>
                <w:lang w:val="es-MX"/>
              </w:rPr>
            </w:pPr>
            <w:r>
              <w:rPr>
                <w:rFonts w:ascii="Calibri" w:hAnsi="Calibri"/>
                <w:lang w:val="es-MX"/>
              </w:rPr>
              <w:t>C</w:t>
            </w:r>
            <w:r w:rsidRPr="00CE6929">
              <w:rPr>
                <w:rFonts w:ascii="Calibri" w:hAnsi="Calibri"/>
                <w:lang w:val="es-MX"/>
              </w:rPr>
              <w:t xml:space="preserve">on el fin de agregar a las </w:t>
            </w:r>
            <w:proofErr w:type="spellStart"/>
            <w:r w:rsidRPr="00CE6929">
              <w:rPr>
                <w:rFonts w:ascii="Calibri" w:hAnsi="Calibri"/>
                <w:lang w:val="es-MX"/>
              </w:rPr>
              <w:t>SOCAP</w:t>
            </w:r>
            <w:proofErr w:type="spellEnd"/>
            <w:r w:rsidRPr="00CE6929">
              <w:rPr>
                <w:rFonts w:ascii="Calibri" w:hAnsi="Calibri"/>
                <w:lang w:val="es-MX"/>
              </w:rPr>
              <w:t xml:space="preserve"> como parte de los contribuyentes a los que no se les haga retención en los términos de este artículo, en </w:t>
            </w:r>
            <w:r w:rsidRPr="00CE6929">
              <w:rPr>
                <w:rFonts w:ascii="Calibri" w:hAnsi="Calibri"/>
                <w:lang w:val="es-MX"/>
              </w:rPr>
              <w:lastRenderedPageBreak/>
              <w:t>virtud de formar parte del sistema financiero.</w:t>
            </w:r>
          </w:p>
        </w:tc>
      </w:tr>
      <w:tr w:rsidR="00CE6929" w:rsidRPr="00EC0111" w:rsidTr="00ED0ECA">
        <w:tc>
          <w:tcPr>
            <w:tcW w:w="5070" w:type="dxa"/>
          </w:tcPr>
          <w:p w:rsidR="00777CF2" w:rsidRPr="00777CF2" w:rsidRDefault="00777CF2" w:rsidP="00777CF2">
            <w:pPr>
              <w:spacing w:after="101" w:line="224" w:lineRule="exact"/>
              <w:ind w:firstLine="288"/>
              <w:jc w:val="both"/>
              <w:rPr>
                <w:rFonts w:ascii="Arial" w:eastAsia="Times New Roman" w:hAnsi="Arial" w:cs="Arial"/>
                <w:sz w:val="18"/>
                <w:szCs w:val="20"/>
                <w:lang w:val="es-ES"/>
              </w:rPr>
            </w:pPr>
            <w:r w:rsidRPr="00777CF2">
              <w:rPr>
                <w:rFonts w:ascii="Arial" w:eastAsia="Times New Roman" w:hAnsi="Arial" w:cs="Arial"/>
                <w:b/>
                <w:sz w:val="18"/>
                <w:szCs w:val="20"/>
                <w:lang w:val="es-ES"/>
              </w:rPr>
              <w:lastRenderedPageBreak/>
              <w:t xml:space="preserve">Artículo 79. </w:t>
            </w:r>
            <w:r w:rsidRPr="00777CF2">
              <w:rPr>
                <w:rFonts w:ascii="Arial" w:eastAsia="Times New Roman" w:hAnsi="Arial" w:cs="Arial"/>
                <w:sz w:val="18"/>
                <w:szCs w:val="20"/>
                <w:lang w:val="es-ES"/>
              </w:rPr>
              <w:t>No son contribuyentes del impuesto sobre la renta, las siguientes personas morales:</w:t>
            </w:r>
          </w:p>
          <w:p w:rsidR="00777CF2" w:rsidRDefault="00777CF2" w:rsidP="00CE6929">
            <w:pPr>
              <w:spacing w:after="101" w:line="236" w:lineRule="exact"/>
              <w:ind w:firstLine="288"/>
              <w:jc w:val="both"/>
              <w:rPr>
                <w:rFonts w:ascii="Arial" w:eastAsia="Times New Roman" w:hAnsi="Arial" w:cs="Arial"/>
                <w:b/>
                <w:sz w:val="18"/>
                <w:lang w:val="es-ES"/>
              </w:rPr>
            </w:pPr>
            <w:r>
              <w:rPr>
                <w:rFonts w:ascii="Arial" w:eastAsia="Times New Roman" w:hAnsi="Arial" w:cs="Arial"/>
                <w:b/>
                <w:sz w:val="18"/>
                <w:lang w:val="es-ES"/>
              </w:rPr>
              <w:t>…</w:t>
            </w:r>
          </w:p>
          <w:p w:rsidR="00777CF2" w:rsidRPr="00777CF2" w:rsidRDefault="00777CF2" w:rsidP="00777CF2">
            <w:pPr>
              <w:spacing w:after="101" w:line="232" w:lineRule="exact"/>
              <w:ind w:left="567" w:hanging="578"/>
              <w:jc w:val="both"/>
              <w:rPr>
                <w:rFonts w:ascii="Arial" w:eastAsia="Times New Roman" w:hAnsi="Arial" w:cs="Arial"/>
                <w:sz w:val="18"/>
                <w:szCs w:val="20"/>
                <w:lang w:val="es-ES"/>
              </w:rPr>
            </w:pPr>
            <w:r w:rsidRPr="00777CF2">
              <w:rPr>
                <w:rFonts w:ascii="Arial" w:eastAsia="Times New Roman" w:hAnsi="Arial" w:cs="Arial"/>
                <w:b/>
                <w:sz w:val="18"/>
                <w:szCs w:val="20"/>
                <w:lang w:val="es-ES"/>
              </w:rPr>
              <w:t>VIII.</w:t>
            </w:r>
            <w:r w:rsidRPr="00777CF2">
              <w:rPr>
                <w:rFonts w:ascii="Arial" w:eastAsia="Times New Roman" w:hAnsi="Arial" w:cs="Arial"/>
                <w:sz w:val="18"/>
                <w:szCs w:val="20"/>
                <w:lang w:val="es-ES"/>
              </w:rPr>
              <w:tab/>
              <w:t>Organismos que conforme a la Ley agrupen a las sociedades cooperativas, ya sea de productores o de consumidores.</w:t>
            </w:r>
          </w:p>
          <w:p w:rsidR="00777CF2" w:rsidRDefault="00777CF2" w:rsidP="00777CF2">
            <w:pPr>
              <w:spacing w:after="101" w:line="236" w:lineRule="exact"/>
              <w:jc w:val="both"/>
              <w:rPr>
                <w:rFonts w:ascii="Arial" w:eastAsia="Times New Roman" w:hAnsi="Arial" w:cs="Arial"/>
                <w:sz w:val="18"/>
                <w:lang w:val="es-ES"/>
              </w:rPr>
            </w:pPr>
          </w:p>
          <w:p w:rsidR="00777CF2" w:rsidRPr="00777CF2" w:rsidRDefault="00777CF2" w:rsidP="00777CF2">
            <w:pPr>
              <w:spacing w:after="101" w:line="236" w:lineRule="exact"/>
              <w:jc w:val="both"/>
              <w:rPr>
                <w:rFonts w:ascii="Arial" w:eastAsia="Times New Roman" w:hAnsi="Arial" w:cs="Arial"/>
                <w:sz w:val="18"/>
                <w:lang w:val="es-ES"/>
              </w:rPr>
            </w:pPr>
            <w:r w:rsidRPr="00777CF2">
              <w:rPr>
                <w:rFonts w:ascii="Arial" w:eastAsia="Times New Roman" w:hAnsi="Arial" w:cs="Arial"/>
                <w:sz w:val="18"/>
                <w:lang w:val="es-ES"/>
              </w:rPr>
              <w:t>XIII.</w:t>
            </w:r>
            <w:r w:rsidRPr="00777CF2">
              <w:rPr>
                <w:rFonts w:ascii="Arial" w:eastAsia="Times New Roman" w:hAnsi="Arial" w:cs="Arial"/>
                <w:sz w:val="18"/>
                <w:lang w:val="es-ES"/>
              </w:rPr>
              <w:tab/>
              <w:t>Las instituciones o sociedades civiles, constituidas únicamente con el objeto de administrar fondos o cajas de ahorro, y aquéllas a las que se refiera la legislación laboral, así como las sociedades cooperativas de ahorro y préstamo a que se refiere la Ley para regular las actividades de las sociedades cooperativas de ahorro y préstamo.</w:t>
            </w:r>
          </w:p>
        </w:tc>
        <w:tc>
          <w:tcPr>
            <w:tcW w:w="5077" w:type="dxa"/>
          </w:tcPr>
          <w:p w:rsidR="00CE6929" w:rsidRDefault="00777CF2" w:rsidP="000F6EC0">
            <w:pPr>
              <w:pStyle w:val="TextoCar"/>
              <w:tabs>
                <w:tab w:val="right" w:leader="dot" w:pos="8828"/>
              </w:tabs>
              <w:spacing w:after="0" w:line="240" w:lineRule="auto"/>
              <w:ind w:firstLine="289"/>
              <w:rPr>
                <w:b/>
                <w:sz w:val="20"/>
                <w:lang w:val="es-MX"/>
              </w:rPr>
            </w:pPr>
            <w:r>
              <w:rPr>
                <w:b/>
                <w:sz w:val="20"/>
                <w:lang w:val="es-MX"/>
              </w:rPr>
              <w:t>…</w:t>
            </w:r>
          </w:p>
          <w:p w:rsidR="00777CF2" w:rsidRDefault="00777CF2" w:rsidP="000F6EC0">
            <w:pPr>
              <w:pStyle w:val="TextoCar"/>
              <w:tabs>
                <w:tab w:val="right" w:leader="dot" w:pos="8828"/>
              </w:tabs>
              <w:spacing w:after="0" w:line="240" w:lineRule="auto"/>
              <w:ind w:firstLine="289"/>
              <w:rPr>
                <w:b/>
                <w:sz w:val="20"/>
                <w:lang w:val="es-MX"/>
              </w:rPr>
            </w:pPr>
          </w:p>
          <w:p w:rsidR="00777CF2" w:rsidRDefault="00777CF2" w:rsidP="000F6EC0">
            <w:pPr>
              <w:pStyle w:val="TextoCar"/>
              <w:tabs>
                <w:tab w:val="right" w:leader="dot" w:pos="8828"/>
              </w:tabs>
              <w:spacing w:after="0" w:line="240" w:lineRule="auto"/>
              <w:ind w:firstLine="289"/>
              <w:rPr>
                <w:b/>
                <w:sz w:val="20"/>
                <w:lang w:val="es-MX"/>
              </w:rPr>
            </w:pPr>
          </w:p>
          <w:p w:rsidR="00777CF2" w:rsidRDefault="00777CF2" w:rsidP="000F6EC0">
            <w:pPr>
              <w:pStyle w:val="TextoCar"/>
              <w:tabs>
                <w:tab w:val="right" w:leader="dot" w:pos="8828"/>
              </w:tabs>
              <w:spacing w:after="0" w:line="240" w:lineRule="auto"/>
              <w:ind w:firstLine="289"/>
              <w:rPr>
                <w:b/>
                <w:sz w:val="20"/>
                <w:lang w:val="es-MX"/>
              </w:rPr>
            </w:pPr>
          </w:p>
          <w:p w:rsidR="00777CF2" w:rsidRPr="00777CF2" w:rsidRDefault="00777CF2" w:rsidP="00777CF2">
            <w:pPr>
              <w:pStyle w:val="TextoCar"/>
              <w:tabs>
                <w:tab w:val="right" w:leader="dot" w:pos="8828"/>
              </w:tabs>
              <w:spacing w:after="0" w:line="240" w:lineRule="auto"/>
              <w:ind w:firstLine="0"/>
              <w:rPr>
                <w:b/>
                <w:lang w:val="es-MX"/>
              </w:rPr>
            </w:pPr>
            <w:r w:rsidRPr="00777CF2">
              <w:rPr>
                <w:b/>
                <w:lang w:val="es-MX"/>
              </w:rPr>
              <w:t>VIII.  Organismos de Integración a que hace referencia la Ley general de Sociedades Cooperativas</w:t>
            </w:r>
          </w:p>
          <w:p w:rsidR="00777CF2" w:rsidRPr="00777CF2" w:rsidRDefault="00777CF2" w:rsidP="00777CF2">
            <w:pPr>
              <w:pStyle w:val="TextoCar"/>
              <w:tabs>
                <w:tab w:val="right" w:leader="dot" w:pos="8828"/>
              </w:tabs>
              <w:spacing w:after="0" w:line="240" w:lineRule="auto"/>
              <w:ind w:firstLine="0"/>
              <w:rPr>
                <w:b/>
                <w:lang w:val="es-MX"/>
              </w:rPr>
            </w:pPr>
          </w:p>
          <w:p w:rsidR="00777CF2" w:rsidRPr="00777CF2" w:rsidRDefault="00777CF2" w:rsidP="00777CF2">
            <w:pPr>
              <w:pStyle w:val="TextoCar"/>
              <w:tabs>
                <w:tab w:val="right" w:leader="dot" w:pos="8828"/>
              </w:tabs>
              <w:spacing w:after="0" w:line="240" w:lineRule="auto"/>
              <w:ind w:firstLine="0"/>
              <w:rPr>
                <w:b/>
                <w:lang w:val="es-MX"/>
              </w:rPr>
            </w:pPr>
          </w:p>
          <w:p w:rsidR="00777CF2" w:rsidRDefault="00777CF2" w:rsidP="00777CF2">
            <w:pPr>
              <w:pStyle w:val="TextoCar"/>
              <w:tabs>
                <w:tab w:val="right" w:leader="dot" w:pos="8828"/>
              </w:tabs>
              <w:spacing w:after="0" w:line="240" w:lineRule="auto"/>
              <w:ind w:firstLine="0"/>
              <w:rPr>
                <w:b/>
                <w:lang w:val="es-MX"/>
              </w:rPr>
            </w:pPr>
          </w:p>
          <w:p w:rsidR="00777CF2" w:rsidRDefault="00777CF2" w:rsidP="00777CF2">
            <w:pPr>
              <w:pStyle w:val="TextoCar"/>
              <w:tabs>
                <w:tab w:val="right" w:leader="dot" w:pos="8828"/>
              </w:tabs>
              <w:spacing w:after="0" w:line="240" w:lineRule="auto"/>
              <w:ind w:firstLine="0"/>
              <w:rPr>
                <w:b/>
                <w:sz w:val="20"/>
                <w:lang w:val="es-MX"/>
              </w:rPr>
            </w:pPr>
            <w:r w:rsidRPr="00777CF2">
              <w:rPr>
                <w:b/>
                <w:lang w:val="es-MX"/>
              </w:rPr>
              <w:t>XIII. Las instituciones o sociedades civiles, constituidas únicamente con el objeto de administrar fondos o cajas de ahorro, y aquéllas a las que se refiera la legislación laboral, así como las sociedades cooperativas de ahorro y préstamo.</w:t>
            </w:r>
          </w:p>
        </w:tc>
        <w:tc>
          <w:tcPr>
            <w:tcW w:w="3075" w:type="dxa"/>
          </w:tcPr>
          <w:p w:rsidR="00CE6929" w:rsidRDefault="00CE6929">
            <w:pPr>
              <w:rPr>
                <w:rFonts w:ascii="Calibri" w:hAnsi="Calibri"/>
                <w:lang w:val="es-MX"/>
              </w:rPr>
            </w:pPr>
          </w:p>
        </w:tc>
      </w:tr>
      <w:tr w:rsidR="00E5232C" w:rsidRPr="00EC0111" w:rsidTr="00ED0ECA">
        <w:tc>
          <w:tcPr>
            <w:tcW w:w="5070" w:type="dxa"/>
          </w:tcPr>
          <w:p w:rsidR="00E5232C" w:rsidRPr="00E5232C" w:rsidRDefault="00E5232C" w:rsidP="00E5232C">
            <w:pPr>
              <w:spacing w:after="101" w:line="220" w:lineRule="exact"/>
              <w:ind w:firstLine="288"/>
              <w:jc w:val="both"/>
              <w:rPr>
                <w:rFonts w:ascii="Arial" w:eastAsia="Times New Roman" w:hAnsi="Arial" w:cs="Arial"/>
                <w:sz w:val="18"/>
                <w:szCs w:val="20"/>
                <w:lang w:val="es-ES"/>
              </w:rPr>
            </w:pPr>
            <w:r w:rsidRPr="00E5232C">
              <w:rPr>
                <w:rFonts w:ascii="Arial" w:eastAsia="Times New Roman" w:hAnsi="Arial" w:cs="Arial"/>
                <w:b/>
                <w:sz w:val="18"/>
                <w:szCs w:val="20"/>
                <w:lang w:val="es-ES"/>
              </w:rPr>
              <w:t xml:space="preserve">Artículo 93. </w:t>
            </w:r>
            <w:r w:rsidRPr="00E5232C">
              <w:rPr>
                <w:rFonts w:ascii="Arial" w:eastAsia="Times New Roman" w:hAnsi="Arial" w:cs="Arial"/>
                <w:sz w:val="18"/>
                <w:szCs w:val="20"/>
                <w:lang w:val="es-ES"/>
              </w:rPr>
              <w:t>No se pagará el impuesto sobre la renta por la obtención de los siguientes ingresos:</w:t>
            </w:r>
          </w:p>
          <w:p w:rsidR="00E5232C" w:rsidRDefault="00E5232C" w:rsidP="00777CF2">
            <w:pPr>
              <w:spacing w:after="101" w:line="224" w:lineRule="exact"/>
              <w:ind w:firstLine="288"/>
              <w:jc w:val="both"/>
              <w:rPr>
                <w:rFonts w:ascii="Arial" w:eastAsia="Times New Roman" w:hAnsi="Arial" w:cs="Arial"/>
                <w:b/>
                <w:sz w:val="18"/>
                <w:szCs w:val="20"/>
                <w:lang w:val="es-ES"/>
              </w:rPr>
            </w:pPr>
            <w:r>
              <w:rPr>
                <w:rFonts w:ascii="Arial" w:eastAsia="Times New Roman" w:hAnsi="Arial" w:cs="Arial"/>
                <w:b/>
                <w:sz w:val="18"/>
                <w:szCs w:val="20"/>
                <w:lang w:val="es-ES"/>
              </w:rPr>
              <w:t>…</w:t>
            </w:r>
          </w:p>
          <w:p w:rsidR="008C71F9" w:rsidRPr="008C71F9" w:rsidRDefault="008C71F9" w:rsidP="008C71F9">
            <w:pPr>
              <w:spacing w:after="101" w:line="216" w:lineRule="exact"/>
              <w:ind w:left="600" w:hanging="567"/>
              <w:jc w:val="both"/>
              <w:rPr>
                <w:rFonts w:ascii="Arial" w:eastAsia="Times New Roman" w:hAnsi="Arial" w:cs="Arial"/>
                <w:sz w:val="18"/>
                <w:szCs w:val="20"/>
                <w:lang w:val="es-ES"/>
              </w:rPr>
            </w:pPr>
            <w:r w:rsidRPr="008C71F9">
              <w:rPr>
                <w:rFonts w:ascii="Arial" w:eastAsia="Times New Roman" w:hAnsi="Arial" w:cs="Arial"/>
                <w:b/>
                <w:sz w:val="18"/>
                <w:szCs w:val="20"/>
                <w:lang w:val="es-ES"/>
              </w:rPr>
              <w:t>XX.</w:t>
            </w:r>
            <w:r w:rsidRPr="008C71F9">
              <w:rPr>
                <w:rFonts w:ascii="Arial" w:eastAsia="Times New Roman" w:hAnsi="Arial" w:cs="Arial"/>
                <w:sz w:val="18"/>
                <w:szCs w:val="20"/>
                <w:lang w:val="es-ES"/>
              </w:rPr>
              <w:tab/>
              <w:t>Los intereses:</w:t>
            </w:r>
          </w:p>
          <w:p w:rsidR="008C71F9" w:rsidRDefault="008C71F9" w:rsidP="008C71F9">
            <w:pPr>
              <w:pStyle w:val="TextoCar"/>
              <w:tabs>
                <w:tab w:val="right" w:leader="dot" w:pos="8828"/>
              </w:tabs>
              <w:spacing w:after="0" w:line="240" w:lineRule="auto"/>
              <w:ind w:left="600" w:hanging="567"/>
              <w:rPr>
                <w:b/>
                <w:sz w:val="20"/>
                <w:lang w:val="es-MX"/>
              </w:rPr>
            </w:pPr>
            <w:r>
              <w:rPr>
                <w:b/>
                <w:sz w:val="20"/>
                <w:lang w:val="es-MX"/>
              </w:rPr>
              <w:t>…</w:t>
            </w:r>
          </w:p>
          <w:p w:rsidR="008C71F9" w:rsidRPr="008C71F9" w:rsidRDefault="008C71F9" w:rsidP="008C71F9">
            <w:pPr>
              <w:spacing w:after="101" w:line="216" w:lineRule="exact"/>
              <w:ind w:left="600" w:hanging="567"/>
              <w:jc w:val="both"/>
              <w:rPr>
                <w:rFonts w:ascii="Arial" w:eastAsia="Times New Roman" w:hAnsi="Arial" w:cs="Arial"/>
                <w:sz w:val="18"/>
                <w:szCs w:val="20"/>
                <w:lang w:val="es-ES"/>
              </w:rPr>
            </w:pPr>
            <w:r w:rsidRPr="008C71F9">
              <w:rPr>
                <w:rFonts w:ascii="Arial" w:eastAsia="Times New Roman" w:hAnsi="Arial" w:cs="Arial"/>
                <w:b/>
                <w:sz w:val="18"/>
                <w:szCs w:val="20"/>
                <w:lang w:val="es-ES"/>
              </w:rPr>
              <w:t>b)</w:t>
            </w:r>
            <w:r w:rsidRPr="008C71F9">
              <w:rPr>
                <w:rFonts w:ascii="Arial" w:eastAsia="Times New Roman" w:hAnsi="Arial" w:cs="Arial"/>
                <w:sz w:val="18"/>
                <w:szCs w:val="20"/>
                <w:lang w:val="es-ES"/>
              </w:rPr>
              <w:tab/>
              <w:t>Pagados por sociedades cooperativas de ahorro y préstamo y por las sociedades financieras populares, provenientes de inversiones cuyo saldo promedio diario no exceda de 5 salarios mínimos generales del área geográfica del Distrito Federal, elevados al año.</w:t>
            </w:r>
          </w:p>
          <w:p w:rsidR="008C71F9" w:rsidRPr="00777CF2" w:rsidRDefault="008C71F9" w:rsidP="00777CF2">
            <w:pPr>
              <w:spacing w:after="101" w:line="224" w:lineRule="exact"/>
              <w:ind w:firstLine="288"/>
              <w:jc w:val="both"/>
              <w:rPr>
                <w:rFonts w:ascii="Arial" w:eastAsia="Times New Roman" w:hAnsi="Arial" w:cs="Arial"/>
                <w:b/>
                <w:sz w:val="18"/>
                <w:szCs w:val="20"/>
                <w:lang w:val="es-ES"/>
              </w:rPr>
            </w:pPr>
          </w:p>
        </w:tc>
        <w:tc>
          <w:tcPr>
            <w:tcW w:w="5077" w:type="dxa"/>
          </w:tcPr>
          <w:p w:rsidR="00E5232C" w:rsidRDefault="00E5232C" w:rsidP="000F6EC0">
            <w:pPr>
              <w:pStyle w:val="TextoCar"/>
              <w:tabs>
                <w:tab w:val="right" w:leader="dot" w:pos="8828"/>
              </w:tabs>
              <w:spacing w:after="0" w:line="240" w:lineRule="auto"/>
              <w:ind w:firstLine="289"/>
              <w:rPr>
                <w:b/>
                <w:sz w:val="20"/>
                <w:lang w:val="es-MX"/>
              </w:rPr>
            </w:pPr>
            <w:r>
              <w:rPr>
                <w:b/>
                <w:sz w:val="20"/>
                <w:lang w:val="es-MX"/>
              </w:rPr>
              <w:t>…</w:t>
            </w:r>
          </w:p>
          <w:p w:rsidR="00E5232C" w:rsidRDefault="00E5232C" w:rsidP="000F6EC0">
            <w:pPr>
              <w:pStyle w:val="TextoCar"/>
              <w:tabs>
                <w:tab w:val="right" w:leader="dot" w:pos="8828"/>
              </w:tabs>
              <w:spacing w:after="0" w:line="240" w:lineRule="auto"/>
              <w:ind w:firstLine="289"/>
              <w:rPr>
                <w:b/>
                <w:sz w:val="20"/>
                <w:lang w:val="es-MX"/>
              </w:rPr>
            </w:pPr>
          </w:p>
          <w:p w:rsidR="00E5232C" w:rsidRDefault="008C71F9" w:rsidP="000F6EC0">
            <w:pPr>
              <w:pStyle w:val="TextoCar"/>
              <w:tabs>
                <w:tab w:val="right" w:leader="dot" w:pos="8828"/>
              </w:tabs>
              <w:spacing w:after="0" w:line="240" w:lineRule="auto"/>
              <w:ind w:firstLine="289"/>
              <w:rPr>
                <w:b/>
                <w:sz w:val="20"/>
                <w:lang w:val="es-MX"/>
              </w:rPr>
            </w:pPr>
            <w:r>
              <w:rPr>
                <w:b/>
                <w:sz w:val="20"/>
                <w:lang w:val="es-MX"/>
              </w:rPr>
              <w:t>…</w:t>
            </w:r>
          </w:p>
          <w:p w:rsidR="008C71F9" w:rsidRPr="008C71F9" w:rsidRDefault="008C71F9" w:rsidP="008C71F9">
            <w:pPr>
              <w:spacing w:after="101" w:line="216" w:lineRule="exact"/>
              <w:ind w:left="600" w:hanging="567"/>
              <w:jc w:val="both"/>
              <w:rPr>
                <w:rFonts w:ascii="Arial" w:eastAsia="Times New Roman" w:hAnsi="Arial" w:cs="Arial"/>
                <w:sz w:val="18"/>
                <w:szCs w:val="20"/>
                <w:lang w:val="es-ES"/>
              </w:rPr>
            </w:pPr>
            <w:r w:rsidRPr="008C71F9">
              <w:rPr>
                <w:rFonts w:ascii="Arial" w:eastAsia="Times New Roman" w:hAnsi="Arial" w:cs="Arial"/>
                <w:b/>
                <w:sz w:val="18"/>
                <w:szCs w:val="20"/>
                <w:lang w:val="es-ES"/>
              </w:rPr>
              <w:t>XX.</w:t>
            </w:r>
            <w:r w:rsidRPr="008C71F9">
              <w:rPr>
                <w:rFonts w:ascii="Arial" w:eastAsia="Times New Roman" w:hAnsi="Arial" w:cs="Arial"/>
                <w:sz w:val="18"/>
                <w:szCs w:val="20"/>
                <w:lang w:val="es-ES"/>
              </w:rPr>
              <w:tab/>
              <w:t>Los intereses:</w:t>
            </w:r>
          </w:p>
          <w:p w:rsidR="008C71F9" w:rsidRDefault="008C71F9" w:rsidP="008C71F9">
            <w:pPr>
              <w:pStyle w:val="TextoCar"/>
              <w:tabs>
                <w:tab w:val="right" w:leader="dot" w:pos="8828"/>
              </w:tabs>
              <w:spacing w:after="0" w:line="240" w:lineRule="auto"/>
              <w:ind w:left="600" w:hanging="567"/>
              <w:rPr>
                <w:b/>
                <w:sz w:val="20"/>
                <w:lang w:val="es-MX"/>
              </w:rPr>
            </w:pPr>
            <w:r>
              <w:rPr>
                <w:b/>
                <w:sz w:val="20"/>
                <w:lang w:val="es-MX"/>
              </w:rPr>
              <w:t>…</w:t>
            </w:r>
          </w:p>
          <w:p w:rsidR="008C71F9" w:rsidRPr="008C71F9" w:rsidRDefault="008C71F9" w:rsidP="008C71F9">
            <w:pPr>
              <w:spacing w:after="101" w:line="216" w:lineRule="exact"/>
              <w:ind w:left="600" w:hanging="567"/>
              <w:jc w:val="both"/>
              <w:rPr>
                <w:rFonts w:ascii="Arial" w:eastAsia="Times New Roman" w:hAnsi="Arial" w:cs="Arial"/>
                <w:sz w:val="18"/>
                <w:szCs w:val="20"/>
                <w:lang w:val="es-MX"/>
              </w:rPr>
            </w:pPr>
            <w:r w:rsidRPr="008C71F9">
              <w:rPr>
                <w:rFonts w:ascii="Arial" w:eastAsia="Times New Roman" w:hAnsi="Arial" w:cs="Arial"/>
                <w:b/>
                <w:sz w:val="18"/>
                <w:szCs w:val="20"/>
                <w:lang w:val="es-ES"/>
              </w:rPr>
              <w:t>b)</w:t>
            </w:r>
            <w:r w:rsidRPr="008C71F9">
              <w:rPr>
                <w:rFonts w:ascii="Arial" w:eastAsia="Times New Roman" w:hAnsi="Arial" w:cs="Arial"/>
                <w:sz w:val="18"/>
                <w:szCs w:val="20"/>
                <w:lang w:val="es-ES"/>
              </w:rPr>
              <w:tab/>
              <w:t>Pagados por sociedades cooperativas de ahorro y préstamo y por las sociedades financieras populares, siempre que los mismos provengan de depósitos de ahorro y los provenientes de inversiones cuyo saldo promedio diario no exceda de 5 salarios mínimos generales del área geográfica del Distrito Federal, elevados al año, por el excedente se pagara dicho impuesto.</w:t>
            </w:r>
          </w:p>
          <w:p w:rsidR="008C71F9" w:rsidRPr="008C71F9" w:rsidRDefault="008C71F9" w:rsidP="000F6EC0">
            <w:pPr>
              <w:pStyle w:val="TextoCar"/>
              <w:tabs>
                <w:tab w:val="right" w:leader="dot" w:pos="8828"/>
              </w:tabs>
              <w:spacing w:after="0" w:line="240" w:lineRule="auto"/>
              <w:ind w:firstLine="289"/>
              <w:rPr>
                <w:b/>
                <w:sz w:val="20"/>
              </w:rPr>
            </w:pPr>
          </w:p>
        </w:tc>
        <w:tc>
          <w:tcPr>
            <w:tcW w:w="3075" w:type="dxa"/>
          </w:tcPr>
          <w:p w:rsidR="00E5232C" w:rsidRDefault="00E5232C">
            <w:pPr>
              <w:rPr>
                <w:rFonts w:ascii="Calibri" w:hAnsi="Calibri"/>
                <w:lang w:val="es-MX"/>
              </w:rPr>
            </w:pPr>
          </w:p>
          <w:p w:rsidR="008C71F9" w:rsidRDefault="008C71F9">
            <w:pPr>
              <w:rPr>
                <w:rFonts w:ascii="Calibri" w:hAnsi="Calibri"/>
                <w:lang w:val="es-MX"/>
              </w:rPr>
            </w:pPr>
          </w:p>
          <w:p w:rsidR="008C71F9" w:rsidRDefault="008C71F9">
            <w:pPr>
              <w:rPr>
                <w:rFonts w:ascii="Calibri" w:hAnsi="Calibri"/>
                <w:lang w:val="es-MX"/>
              </w:rPr>
            </w:pPr>
          </w:p>
          <w:p w:rsidR="008C71F9" w:rsidRDefault="008C71F9">
            <w:pPr>
              <w:rPr>
                <w:rFonts w:ascii="Calibri" w:hAnsi="Calibri"/>
                <w:lang w:val="es-MX"/>
              </w:rPr>
            </w:pPr>
          </w:p>
          <w:p w:rsidR="008C71F9" w:rsidRPr="008C71F9" w:rsidRDefault="008C71F9" w:rsidP="008C71F9">
            <w:pPr>
              <w:rPr>
                <w:rFonts w:ascii="Calibri" w:hAnsi="Calibri"/>
                <w:lang w:val="es-MX"/>
              </w:rPr>
            </w:pPr>
            <w:r w:rsidRPr="008C71F9">
              <w:rPr>
                <w:rFonts w:ascii="Calibri" w:hAnsi="Calibri"/>
                <w:lang w:val="es-MX"/>
              </w:rPr>
              <w:t>Es importante aclarar la diferencia entre conceptos como depósitos de ahorro e inversiones porque en la práctica generan confusión y diversidad de interpretación.</w:t>
            </w:r>
          </w:p>
          <w:p w:rsidR="008C71F9" w:rsidRDefault="008C71F9" w:rsidP="008C71F9">
            <w:pPr>
              <w:rPr>
                <w:rFonts w:ascii="Calibri" w:hAnsi="Calibri"/>
                <w:lang w:val="es-MX"/>
              </w:rPr>
            </w:pPr>
            <w:r w:rsidRPr="008C71F9">
              <w:rPr>
                <w:rFonts w:ascii="Calibri" w:hAnsi="Calibri"/>
                <w:lang w:val="es-MX"/>
              </w:rPr>
              <w:t xml:space="preserve">Y se propone agregar que es por el excedente del monto exento por el que se paga el impuesto, tal como se establece en regla </w:t>
            </w:r>
            <w:r w:rsidRPr="008C71F9">
              <w:rPr>
                <w:rFonts w:ascii="Calibri" w:hAnsi="Calibri"/>
                <w:lang w:val="es-MX"/>
              </w:rPr>
              <w:lastRenderedPageBreak/>
              <w:t>miscelánea</w:t>
            </w:r>
          </w:p>
        </w:tc>
      </w:tr>
      <w:tr w:rsidR="008C71F9" w:rsidRPr="00EC0111" w:rsidTr="00ED0ECA">
        <w:tc>
          <w:tcPr>
            <w:tcW w:w="5070" w:type="dxa"/>
          </w:tcPr>
          <w:p w:rsidR="008C71F9" w:rsidRPr="008C71F9" w:rsidRDefault="008C71F9" w:rsidP="005E6443">
            <w:pPr>
              <w:spacing w:after="101" w:line="220" w:lineRule="exact"/>
              <w:jc w:val="both"/>
              <w:rPr>
                <w:rFonts w:ascii="Arial" w:eastAsia="Times New Roman" w:hAnsi="Arial" w:cs="Arial"/>
                <w:b/>
                <w:sz w:val="18"/>
                <w:szCs w:val="20"/>
              </w:rPr>
            </w:pPr>
          </w:p>
        </w:tc>
        <w:tc>
          <w:tcPr>
            <w:tcW w:w="5077" w:type="dxa"/>
          </w:tcPr>
          <w:p w:rsidR="008C71F9" w:rsidRDefault="008C71F9" w:rsidP="000F6EC0">
            <w:pPr>
              <w:pStyle w:val="TextoCar"/>
              <w:tabs>
                <w:tab w:val="right" w:leader="dot" w:pos="8828"/>
              </w:tabs>
              <w:spacing w:after="0" w:line="240" w:lineRule="auto"/>
              <w:ind w:firstLine="289"/>
              <w:rPr>
                <w:b/>
                <w:sz w:val="20"/>
                <w:lang w:val="es-MX"/>
              </w:rPr>
            </w:pPr>
          </w:p>
        </w:tc>
        <w:tc>
          <w:tcPr>
            <w:tcW w:w="3075" w:type="dxa"/>
          </w:tcPr>
          <w:p w:rsidR="008C71F9" w:rsidRDefault="008C71F9">
            <w:pPr>
              <w:rPr>
                <w:rFonts w:ascii="Calibri" w:hAnsi="Calibri"/>
                <w:lang w:val="es-MX"/>
              </w:rPr>
            </w:pPr>
          </w:p>
        </w:tc>
      </w:tr>
    </w:tbl>
    <w:p w:rsidR="00EC0111" w:rsidRPr="00EC0111" w:rsidRDefault="00EC0111">
      <w:pPr>
        <w:rPr>
          <w:rFonts w:ascii="Calibri" w:hAnsi="Calibri"/>
        </w:rPr>
      </w:pPr>
    </w:p>
    <w:sectPr w:rsidR="00EC0111" w:rsidRPr="00EC0111" w:rsidSect="00EC011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11"/>
    <w:rsid w:val="000F6EC0"/>
    <w:rsid w:val="005E6443"/>
    <w:rsid w:val="00777CF2"/>
    <w:rsid w:val="008C71F9"/>
    <w:rsid w:val="008E79D5"/>
    <w:rsid w:val="00AB00D7"/>
    <w:rsid w:val="00BF2DF3"/>
    <w:rsid w:val="00C170BA"/>
    <w:rsid w:val="00CE6929"/>
    <w:rsid w:val="00D36910"/>
    <w:rsid w:val="00DC09EB"/>
    <w:rsid w:val="00E5232C"/>
    <w:rsid w:val="00EC0111"/>
    <w:rsid w:val="00ED0E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0F6EC0"/>
    <w:pPr>
      <w:spacing w:after="101" w:line="216" w:lineRule="exact"/>
      <w:ind w:firstLine="288"/>
      <w:jc w:val="both"/>
    </w:pPr>
    <w:rPr>
      <w:rFonts w:ascii="Arial" w:eastAsia="Times New Roman" w:hAnsi="Arial" w:cs="Arial"/>
      <w:sz w:val="18"/>
      <w:szCs w:val="18"/>
      <w:lang w:val="es-MX"/>
    </w:rPr>
  </w:style>
  <w:style w:type="paragraph" w:customStyle="1" w:styleId="TextoCar">
    <w:name w:val="Texto Car"/>
    <w:basedOn w:val="Normal"/>
    <w:rsid w:val="000F6EC0"/>
    <w:pPr>
      <w:spacing w:after="101" w:line="216" w:lineRule="exact"/>
      <w:ind w:firstLine="288"/>
      <w:jc w:val="both"/>
    </w:pPr>
    <w:rPr>
      <w:rFonts w:ascii="Arial" w:eastAsia="Times New Roman" w:hAnsi="Arial" w:cs="Arial"/>
      <w:sz w:val="18"/>
      <w:szCs w:val="18"/>
      <w:lang w:val="es-ES"/>
    </w:rPr>
  </w:style>
  <w:style w:type="paragraph" w:customStyle="1" w:styleId="Default">
    <w:name w:val="Default"/>
    <w:rsid w:val="00ED0ECA"/>
    <w:pPr>
      <w:autoSpaceDE w:val="0"/>
      <w:autoSpaceDN w:val="0"/>
      <w:adjustRightInd w:val="0"/>
    </w:pPr>
    <w:rPr>
      <w:rFonts w:ascii="Arial" w:hAnsi="Arial" w:cs="Arial"/>
      <w:color w:val="000000"/>
      <w:lang w:val="es-MX"/>
    </w:rPr>
  </w:style>
  <w:style w:type="paragraph" w:styleId="Sinespaciado">
    <w:name w:val="No Spacing"/>
    <w:link w:val="SinespaciadoCar"/>
    <w:uiPriority w:val="1"/>
    <w:qFormat/>
    <w:rsid w:val="00ED0ECA"/>
    <w:rPr>
      <w:sz w:val="22"/>
      <w:szCs w:val="22"/>
      <w:lang w:val="es-ES" w:eastAsia="en-US"/>
    </w:rPr>
  </w:style>
  <w:style w:type="character" w:customStyle="1" w:styleId="SinespaciadoCar">
    <w:name w:val="Sin espaciado Car"/>
    <w:basedOn w:val="Fuentedeprrafopredeter"/>
    <w:link w:val="Sinespaciado"/>
    <w:uiPriority w:val="1"/>
    <w:rsid w:val="00ED0ECA"/>
    <w:rPr>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C0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0F6EC0"/>
    <w:pPr>
      <w:spacing w:after="101" w:line="216" w:lineRule="exact"/>
      <w:ind w:firstLine="288"/>
      <w:jc w:val="both"/>
    </w:pPr>
    <w:rPr>
      <w:rFonts w:ascii="Arial" w:eastAsia="Times New Roman" w:hAnsi="Arial" w:cs="Arial"/>
      <w:sz w:val="18"/>
      <w:szCs w:val="18"/>
      <w:lang w:val="es-MX"/>
    </w:rPr>
  </w:style>
  <w:style w:type="paragraph" w:customStyle="1" w:styleId="TextoCar">
    <w:name w:val="Texto Car"/>
    <w:basedOn w:val="Normal"/>
    <w:rsid w:val="000F6EC0"/>
    <w:pPr>
      <w:spacing w:after="101" w:line="216" w:lineRule="exact"/>
      <w:ind w:firstLine="288"/>
      <w:jc w:val="both"/>
    </w:pPr>
    <w:rPr>
      <w:rFonts w:ascii="Arial" w:eastAsia="Times New Roman" w:hAnsi="Arial" w:cs="Arial"/>
      <w:sz w:val="18"/>
      <w:szCs w:val="18"/>
      <w:lang w:val="es-ES"/>
    </w:rPr>
  </w:style>
  <w:style w:type="paragraph" w:customStyle="1" w:styleId="Default">
    <w:name w:val="Default"/>
    <w:rsid w:val="00ED0ECA"/>
    <w:pPr>
      <w:autoSpaceDE w:val="0"/>
      <w:autoSpaceDN w:val="0"/>
      <w:adjustRightInd w:val="0"/>
    </w:pPr>
    <w:rPr>
      <w:rFonts w:ascii="Arial" w:hAnsi="Arial" w:cs="Arial"/>
      <w:color w:val="000000"/>
      <w:lang w:val="es-MX"/>
    </w:rPr>
  </w:style>
  <w:style w:type="paragraph" w:styleId="Sinespaciado">
    <w:name w:val="No Spacing"/>
    <w:link w:val="SinespaciadoCar"/>
    <w:uiPriority w:val="1"/>
    <w:qFormat/>
    <w:rsid w:val="00ED0ECA"/>
    <w:rPr>
      <w:sz w:val="22"/>
      <w:szCs w:val="22"/>
      <w:lang w:val="es-ES" w:eastAsia="en-US"/>
    </w:rPr>
  </w:style>
  <w:style w:type="character" w:customStyle="1" w:styleId="SinespaciadoCar">
    <w:name w:val="Sin espaciado Car"/>
    <w:basedOn w:val="Fuentedeprrafopredeter"/>
    <w:link w:val="Sinespaciado"/>
    <w:uiPriority w:val="1"/>
    <w:rsid w:val="00ED0ECA"/>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FE5D-39D8-4921-AEBD-64C82ECF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1528</Words>
  <Characters>8408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Raymundo Reyes Romero</dc:creator>
  <cp:lastModifiedBy>Armenta</cp:lastModifiedBy>
  <cp:revision>4</cp:revision>
  <dcterms:created xsi:type="dcterms:W3CDTF">2015-10-09T23:06:00Z</dcterms:created>
  <dcterms:modified xsi:type="dcterms:W3CDTF">2015-10-09T23:21:00Z</dcterms:modified>
</cp:coreProperties>
</file>