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D7" w:rsidRPr="00EC0111" w:rsidRDefault="00F71FC3">
      <w:pPr>
        <w:rPr>
          <w:rFonts w:ascii="Calibri" w:hAnsi="Calibri"/>
        </w:rPr>
      </w:pPr>
      <w:r>
        <w:rPr>
          <w:rFonts w:ascii="Calibri" w:hAnsi="Calibri"/>
        </w:rPr>
        <w:t>Nombre de la organización:   INSTITUTO MEXICANO DE CONTADORES PUBLICOS</w:t>
      </w:r>
    </w:p>
    <w:p w:rsidR="00EC0111" w:rsidRPr="00EC0111" w:rsidRDefault="00EC0111">
      <w:pPr>
        <w:rPr>
          <w:rFonts w:ascii="Calibri" w:hAnsi="Calibri"/>
        </w:rPr>
      </w:pPr>
    </w:p>
    <w:tbl>
      <w:tblPr>
        <w:tblStyle w:val="Tablaconcuadrcula"/>
        <w:tblW w:w="0" w:type="auto"/>
        <w:tblLook w:val="04A0" w:firstRow="1" w:lastRow="0" w:firstColumn="1" w:lastColumn="0" w:noHBand="0" w:noVBand="1"/>
      </w:tblPr>
      <w:tblGrid>
        <w:gridCol w:w="4382"/>
        <w:gridCol w:w="4382"/>
        <w:gridCol w:w="4382"/>
      </w:tblGrid>
      <w:tr w:rsidR="00EC0111" w:rsidRPr="00EC0111" w:rsidTr="00EC0111">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Dice</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Debe Decir</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Justificación</w:t>
            </w:r>
          </w:p>
        </w:tc>
      </w:tr>
      <w:tr w:rsidR="00EC0111" w:rsidRPr="009D0098" w:rsidTr="00EC0111">
        <w:tc>
          <w:tcPr>
            <w:tcW w:w="4382" w:type="dxa"/>
          </w:tcPr>
          <w:p w:rsidR="00EC0111" w:rsidRPr="009D0098" w:rsidRDefault="00EC0111">
            <w:pPr>
              <w:rPr>
                <w:rFonts w:ascii="Arial" w:hAnsi="Arial" w:cs="Arial"/>
                <w:sz w:val="20"/>
                <w:szCs w:val="20"/>
              </w:rPr>
            </w:pPr>
          </w:p>
          <w:p w:rsidR="00F71FC3" w:rsidRPr="009D0098" w:rsidRDefault="00F71FC3" w:rsidP="00F71FC3">
            <w:pPr>
              <w:pStyle w:val="NormalWeb"/>
              <w:spacing w:before="0" w:beforeAutospacing="0" w:after="0" w:afterAutospacing="0"/>
              <w:ind w:right="51"/>
              <w:rPr>
                <w:rFonts w:ascii="Arial" w:hAnsi="Arial" w:cs="Arial"/>
                <w:sz w:val="20"/>
                <w:szCs w:val="20"/>
              </w:rPr>
            </w:pPr>
            <w:r w:rsidRPr="009D0098">
              <w:rPr>
                <w:rFonts w:ascii="Arial" w:eastAsia="MS Mincho" w:hAnsi="Arial" w:cs="Arial"/>
                <w:b/>
                <w:bCs/>
                <w:sz w:val="20"/>
                <w:szCs w:val="20"/>
                <w:lang w:eastAsia="en-US"/>
              </w:rPr>
              <w:t>Artículo 32-A.</w:t>
            </w:r>
            <w:r w:rsidRPr="009D0098">
              <w:rPr>
                <w:rFonts w:ascii="Arial" w:eastAsia="MS Mincho" w:hAnsi="Arial" w:cs="Arial"/>
                <w:bCs/>
                <w:sz w:val="20"/>
                <w:szCs w:val="20"/>
                <w:lang w:eastAsia="en-US"/>
              </w:rPr>
              <w:t xml:space="preserve"> </w:t>
            </w:r>
            <w:r w:rsidRPr="009D0098">
              <w:rPr>
                <w:rFonts w:ascii="Arial" w:hAnsi="Arial" w:cs="Arial"/>
                <w:sz w:val="20"/>
                <w:szCs w:val="20"/>
              </w:rPr>
              <w:t xml:space="preserve">Las personas físicas con actividades empresariales y las personas morales, que en el ejercicio inmediato anterior hayan obtenido ingresos acumulables superiores a $100,000,000.00, que el valor de su activo determinado en los términos de las reglas de carácter general que al efecto emita el Servicio de Administración Tributaria, sea superior a $79,000,000.00 o que por lo menos trescientos de sus trabajadores les hayan prestado servicios en cada uno de los meses del ejercicio inmediato anterior, podrán optar por dictaminar, en los términos del artículo </w:t>
            </w:r>
            <w:hyperlink w:history="1">
              <w:r w:rsidRPr="009D0098">
                <w:rPr>
                  <w:rStyle w:val="Hipervnculo"/>
                  <w:rFonts w:ascii="Arial" w:hAnsi="Arial" w:cs="Arial"/>
                  <w:bCs/>
                  <w:sz w:val="20"/>
                  <w:szCs w:val="20"/>
                </w:rPr>
                <w:t>52</w:t>
              </w:r>
            </w:hyperlink>
            <w:r w:rsidRPr="009D0098">
              <w:rPr>
                <w:rFonts w:ascii="Arial" w:hAnsi="Arial" w:cs="Arial"/>
                <w:sz w:val="20"/>
                <w:szCs w:val="20"/>
              </w:rPr>
              <w:t xml:space="preserve"> del Código Fiscal de la Federación, sus estados financieros por contador público autorizado. </w:t>
            </w:r>
          </w:p>
          <w:p w:rsidR="00F71FC3" w:rsidRPr="009D0098" w:rsidRDefault="00F71FC3" w:rsidP="00F71FC3">
            <w:pPr>
              <w:pStyle w:val="NormalWeb"/>
              <w:spacing w:before="0" w:beforeAutospacing="0" w:after="0" w:afterAutospacing="0"/>
              <w:ind w:right="51"/>
              <w:rPr>
                <w:rFonts w:ascii="Arial" w:hAnsi="Arial" w:cs="Arial"/>
                <w:sz w:val="20"/>
                <w:szCs w:val="20"/>
              </w:rPr>
            </w:pPr>
            <w:r w:rsidRPr="009D0098">
              <w:rPr>
                <w:rFonts w:ascii="Arial" w:hAnsi="Arial" w:cs="Arial"/>
                <w:sz w:val="20"/>
                <w:szCs w:val="20"/>
              </w:rPr>
              <w:t>No podrán ejercer la opción a que se refiere este artículo las entidades paraestatales de la Administración Pública Federal.</w:t>
            </w:r>
          </w:p>
          <w:p w:rsidR="00F71FC3" w:rsidRPr="009D0098" w:rsidRDefault="00F71FC3" w:rsidP="00F71FC3">
            <w:pPr>
              <w:pStyle w:val="NormalWeb"/>
              <w:spacing w:before="0" w:beforeAutospacing="0" w:after="0" w:afterAutospacing="0"/>
              <w:ind w:right="51"/>
              <w:rPr>
                <w:rFonts w:ascii="Arial" w:hAnsi="Arial" w:cs="Arial"/>
                <w:sz w:val="20"/>
                <w:szCs w:val="20"/>
              </w:rPr>
            </w:pPr>
          </w:p>
          <w:p w:rsidR="00F71FC3" w:rsidRPr="009D0098" w:rsidRDefault="00F71FC3" w:rsidP="00F71FC3">
            <w:pPr>
              <w:pStyle w:val="NormalWeb"/>
              <w:spacing w:before="0" w:beforeAutospacing="0" w:after="0" w:afterAutospacing="0"/>
              <w:ind w:right="51"/>
              <w:rPr>
                <w:rStyle w:val="Textoennegrita"/>
                <w:rFonts w:ascii="Arial" w:hAnsi="Arial" w:cs="Arial"/>
                <w:b w:val="0"/>
                <w:sz w:val="20"/>
                <w:szCs w:val="20"/>
              </w:rPr>
            </w:pPr>
            <w:r w:rsidRPr="009D0098">
              <w:rPr>
                <w:rStyle w:val="Textoennegrita"/>
                <w:rFonts w:ascii="Arial" w:hAnsi="Arial" w:cs="Arial"/>
                <w:b w:val="0"/>
                <w:sz w:val="20"/>
                <w:szCs w:val="20"/>
              </w:rPr>
              <w:t>Los contribuyentes que opten por hacer dictaminar sus estados financieros a que se refiere el párrafo anterior,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rsidR="00F71FC3" w:rsidRPr="009D0098" w:rsidRDefault="00F71FC3" w:rsidP="00F71FC3">
            <w:pPr>
              <w:pStyle w:val="NormalWeb"/>
              <w:spacing w:before="0" w:beforeAutospacing="0" w:after="0" w:afterAutospacing="0"/>
              <w:ind w:right="51"/>
              <w:rPr>
                <w:rStyle w:val="Textoennegrita"/>
                <w:rFonts w:ascii="Arial" w:hAnsi="Arial" w:cs="Arial"/>
                <w:b w:val="0"/>
                <w:sz w:val="20"/>
                <w:szCs w:val="20"/>
              </w:rPr>
            </w:pPr>
          </w:p>
          <w:p w:rsidR="00F71FC3" w:rsidRPr="009D0098" w:rsidRDefault="00F71FC3" w:rsidP="00F71FC3">
            <w:pPr>
              <w:pStyle w:val="NormalWeb"/>
              <w:spacing w:before="0" w:beforeAutospacing="0" w:after="0" w:afterAutospacing="0"/>
              <w:ind w:right="51"/>
              <w:rPr>
                <w:rFonts w:ascii="Arial" w:hAnsi="Arial" w:cs="Arial"/>
                <w:bCs/>
                <w:sz w:val="20"/>
                <w:szCs w:val="20"/>
              </w:rPr>
            </w:pPr>
            <w:r w:rsidRPr="009D0098">
              <w:rPr>
                <w:rFonts w:ascii="Arial" w:hAnsi="Arial" w:cs="Arial"/>
                <w:bCs/>
                <w:sz w:val="20"/>
                <w:szCs w:val="20"/>
              </w:rPr>
              <w:lastRenderedPageBreak/>
              <w:t>Los contribuyentes que hayan optado por presentar el dictamen de los estados financieros formulado por contador público registrado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julio del año inmediato posterior a la terminación del ejercicio de que se trate.</w:t>
            </w:r>
          </w:p>
          <w:p w:rsidR="00F71FC3" w:rsidRPr="009D0098" w:rsidRDefault="00F71FC3" w:rsidP="00F71FC3">
            <w:pPr>
              <w:pStyle w:val="NormalWeb"/>
              <w:spacing w:before="0" w:beforeAutospacing="0" w:after="0" w:afterAutospacing="0"/>
              <w:ind w:right="51"/>
              <w:rPr>
                <w:rFonts w:ascii="Arial" w:hAnsi="Arial" w:cs="Arial"/>
                <w:sz w:val="20"/>
                <w:szCs w:val="20"/>
              </w:rPr>
            </w:pPr>
          </w:p>
          <w:p w:rsidR="00F71FC3" w:rsidRPr="009D0098" w:rsidRDefault="00F71FC3" w:rsidP="00F71FC3">
            <w:pPr>
              <w:pStyle w:val="NormalWeb"/>
              <w:spacing w:before="0" w:beforeAutospacing="0" w:after="0" w:afterAutospacing="0"/>
              <w:ind w:right="51"/>
              <w:rPr>
                <w:rFonts w:ascii="Arial" w:hAnsi="Arial" w:cs="Arial"/>
                <w:bCs/>
                <w:sz w:val="20"/>
                <w:szCs w:val="20"/>
              </w:rPr>
            </w:pPr>
            <w:r w:rsidRPr="009D0098">
              <w:rPr>
                <w:rFonts w:ascii="Arial" w:hAnsi="Arial" w:cs="Arial"/>
                <w:bCs/>
                <w:sz w:val="20"/>
                <w:szCs w:val="20"/>
              </w:rPr>
              <w:t>En el caso de que en el dictamen se determinen diferencias de impuestos a pagar, éstas deberán enterarse mediante declaración complementaria en las oficinas autorizadas dentro de los diez días posteriores a la presentación del dictamen.</w:t>
            </w:r>
          </w:p>
          <w:p w:rsidR="00F71FC3" w:rsidRPr="009D0098" w:rsidRDefault="00F71FC3" w:rsidP="00F71FC3">
            <w:pPr>
              <w:pStyle w:val="NormalWeb"/>
              <w:spacing w:before="0" w:beforeAutospacing="0" w:after="0" w:afterAutospacing="0"/>
              <w:ind w:right="51"/>
              <w:rPr>
                <w:rFonts w:ascii="Arial" w:hAnsi="Arial" w:cs="Arial"/>
                <w:bCs/>
                <w:sz w:val="20"/>
                <w:szCs w:val="20"/>
              </w:rPr>
            </w:pPr>
          </w:p>
          <w:p w:rsidR="00F71FC3" w:rsidRPr="009D0098" w:rsidRDefault="00F71FC3" w:rsidP="00F71FC3">
            <w:pPr>
              <w:tabs>
                <w:tab w:val="left" w:pos="753"/>
                <w:tab w:val="center" w:pos="4252"/>
                <w:tab w:val="right" w:pos="8504"/>
              </w:tabs>
              <w:ind w:right="51"/>
              <w:jc w:val="both"/>
              <w:rPr>
                <w:rFonts w:ascii="Arial" w:hAnsi="Arial" w:cs="Arial"/>
                <w:bCs/>
                <w:sz w:val="20"/>
                <w:szCs w:val="20"/>
              </w:rPr>
            </w:pPr>
            <w:r w:rsidRPr="009D0098">
              <w:rPr>
                <w:rFonts w:ascii="Arial" w:hAnsi="Arial" w:cs="Arial"/>
                <w:bCs/>
                <w:sz w:val="20"/>
                <w:szCs w:val="20"/>
              </w:rPr>
              <w:t>Los contribuyentes que ejerzan la opción a que se refiere este artículo, tendrán por cumplida la obligación de presentar la declaración informativa sobre su situación fiscal a que se refiere el artículo 32-H de este Código.</w:t>
            </w:r>
          </w:p>
          <w:p w:rsidR="00EC0111" w:rsidRPr="009D0098" w:rsidRDefault="00EC0111">
            <w:pPr>
              <w:rPr>
                <w:rFonts w:ascii="Arial" w:hAnsi="Arial" w:cs="Arial"/>
                <w:sz w:val="20"/>
                <w:szCs w:val="20"/>
              </w:rPr>
            </w:pPr>
          </w:p>
          <w:p w:rsidR="00EC0111" w:rsidRPr="009D0098" w:rsidRDefault="00EC0111">
            <w:pPr>
              <w:rPr>
                <w:rFonts w:ascii="Arial" w:hAnsi="Arial" w:cs="Arial"/>
                <w:sz w:val="20"/>
                <w:szCs w:val="20"/>
              </w:rPr>
            </w:pPr>
          </w:p>
          <w:p w:rsidR="00EC0111" w:rsidRPr="009D0098" w:rsidRDefault="00EC0111">
            <w:pPr>
              <w:rPr>
                <w:rFonts w:ascii="Arial" w:hAnsi="Arial" w:cs="Arial"/>
                <w:sz w:val="20"/>
                <w:szCs w:val="20"/>
              </w:rPr>
            </w:pPr>
          </w:p>
          <w:p w:rsidR="00EC0111" w:rsidRPr="009D0098" w:rsidRDefault="00EC0111">
            <w:pPr>
              <w:rPr>
                <w:rFonts w:ascii="Arial" w:hAnsi="Arial" w:cs="Arial"/>
                <w:sz w:val="20"/>
                <w:szCs w:val="20"/>
              </w:rPr>
            </w:pPr>
          </w:p>
          <w:p w:rsidR="00EC0111" w:rsidRPr="009D0098" w:rsidRDefault="00EC0111">
            <w:pPr>
              <w:rPr>
                <w:rFonts w:ascii="Arial" w:hAnsi="Arial" w:cs="Arial"/>
                <w:sz w:val="20"/>
                <w:szCs w:val="20"/>
              </w:rPr>
            </w:pPr>
          </w:p>
          <w:p w:rsidR="00EC0111" w:rsidRPr="009D0098" w:rsidRDefault="00EC0111">
            <w:pPr>
              <w:rPr>
                <w:rFonts w:ascii="Arial" w:hAnsi="Arial" w:cs="Arial"/>
                <w:sz w:val="20"/>
                <w:szCs w:val="20"/>
              </w:rPr>
            </w:pPr>
          </w:p>
          <w:p w:rsidR="00EC0111" w:rsidRPr="009D0098" w:rsidRDefault="00EC0111">
            <w:pPr>
              <w:rPr>
                <w:rFonts w:ascii="Arial" w:hAnsi="Arial" w:cs="Arial"/>
                <w:sz w:val="20"/>
                <w:szCs w:val="20"/>
              </w:rPr>
            </w:pPr>
          </w:p>
        </w:tc>
        <w:tc>
          <w:tcPr>
            <w:tcW w:w="4382" w:type="dxa"/>
          </w:tcPr>
          <w:p w:rsidR="009D0098" w:rsidRPr="009D0098" w:rsidRDefault="009D0098" w:rsidP="009D0098">
            <w:pPr>
              <w:pStyle w:val="NormalWeb"/>
              <w:spacing w:before="0" w:beforeAutospacing="0" w:after="0" w:afterAutospacing="0"/>
              <w:ind w:right="51"/>
              <w:rPr>
                <w:rFonts w:ascii="Arial" w:eastAsia="MS Mincho" w:hAnsi="Arial" w:cs="Arial"/>
                <w:b/>
                <w:bCs/>
                <w:sz w:val="20"/>
                <w:szCs w:val="20"/>
                <w:lang w:eastAsia="en-US"/>
              </w:rPr>
            </w:pPr>
          </w:p>
          <w:p w:rsidR="009D0098" w:rsidRPr="009D0098" w:rsidRDefault="009D0098" w:rsidP="009D0098">
            <w:pPr>
              <w:pStyle w:val="NormalWeb"/>
              <w:spacing w:before="0" w:beforeAutospacing="0" w:after="0" w:afterAutospacing="0"/>
              <w:ind w:right="51"/>
              <w:rPr>
                <w:rFonts w:ascii="Arial" w:hAnsi="Arial" w:cs="Arial"/>
                <w:sz w:val="20"/>
                <w:szCs w:val="20"/>
              </w:rPr>
            </w:pPr>
            <w:r w:rsidRPr="009D0098">
              <w:rPr>
                <w:rFonts w:ascii="Arial" w:eastAsia="MS Mincho" w:hAnsi="Arial" w:cs="Arial"/>
                <w:b/>
                <w:bCs/>
                <w:sz w:val="20"/>
                <w:szCs w:val="20"/>
                <w:lang w:eastAsia="en-US"/>
              </w:rPr>
              <w:t>Artículo 32-A.</w:t>
            </w:r>
            <w:r w:rsidRPr="009D0098">
              <w:rPr>
                <w:rFonts w:ascii="Arial" w:eastAsia="MS Mincho" w:hAnsi="Arial" w:cs="Arial"/>
                <w:bCs/>
                <w:sz w:val="20"/>
                <w:szCs w:val="20"/>
                <w:lang w:eastAsia="en-US"/>
              </w:rPr>
              <w:t xml:space="preserve"> </w:t>
            </w:r>
            <w:r w:rsidRPr="009D0098">
              <w:rPr>
                <w:rFonts w:ascii="Arial" w:hAnsi="Arial" w:cs="Arial"/>
                <w:sz w:val="20"/>
                <w:szCs w:val="20"/>
              </w:rPr>
              <w:t xml:space="preserve">Las personas físicas con actividades empresariales y las personas morales, </w:t>
            </w:r>
            <w:r w:rsidRPr="009D0098">
              <w:rPr>
                <w:rFonts w:ascii="Arial" w:hAnsi="Arial" w:cs="Arial"/>
                <w:b/>
                <w:sz w:val="20"/>
                <w:szCs w:val="20"/>
              </w:rPr>
              <w:t>podrán optar por dictaminar,</w:t>
            </w:r>
            <w:r w:rsidRPr="009D0098">
              <w:rPr>
                <w:rFonts w:ascii="Arial" w:hAnsi="Arial" w:cs="Arial"/>
                <w:sz w:val="20"/>
                <w:szCs w:val="20"/>
              </w:rPr>
              <w:t xml:space="preserve"> en los términos del artículo </w:t>
            </w:r>
            <w:hyperlink w:history="1">
              <w:r w:rsidRPr="009D0098">
                <w:rPr>
                  <w:rStyle w:val="Hipervnculo"/>
                  <w:rFonts w:ascii="Arial" w:hAnsi="Arial" w:cs="Arial"/>
                  <w:bCs/>
                  <w:sz w:val="20"/>
                  <w:szCs w:val="20"/>
                </w:rPr>
                <w:t>52</w:t>
              </w:r>
            </w:hyperlink>
            <w:r w:rsidRPr="009D0098">
              <w:rPr>
                <w:rFonts w:ascii="Arial" w:hAnsi="Arial" w:cs="Arial"/>
                <w:sz w:val="20"/>
                <w:szCs w:val="20"/>
              </w:rPr>
              <w:t xml:space="preserve"> del Código Fiscal de la Federación, sus estados financieros por contador público autorizado. </w:t>
            </w: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sz w:val="20"/>
                <w:szCs w:val="20"/>
              </w:rPr>
            </w:pPr>
            <w:r w:rsidRPr="009D0098">
              <w:rPr>
                <w:rFonts w:ascii="Arial" w:hAnsi="Arial" w:cs="Arial"/>
                <w:sz w:val="20"/>
                <w:szCs w:val="20"/>
              </w:rPr>
              <w:t>No podrán ejercer la opción a que se refiere este artículo las entidades paraestatales de la Administración Pública Federal.</w:t>
            </w: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Style w:val="Textoennegrita"/>
                <w:rFonts w:ascii="Arial" w:hAnsi="Arial" w:cs="Arial"/>
                <w:b w:val="0"/>
                <w:sz w:val="20"/>
                <w:szCs w:val="20"/>
              </w:rPr>
            </w:pPr>
            <w:r w:rsidRPr="009D0098">
              <w:rPr>
                <w:rStyle w:val="Textoennegrita"/>
                <w:rFonts w:ascii="Arial" w:hAnsi="Arial" w:cs="Arial"/>
                <w:b w:val="0"/>
                <w:sz w:val="20"/>
                <w:szCs w:val="20"/>
              </w:rPr>
              <w:t>Los contribuyentes que opten por hacer dictaminar sus estados financieros a que se refiere el párrafo anterior,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rsidR="009D0098" w:rsidRPr="009D0098" w:rsidRDefault="009D0098" w:rsidP="009D0098">
            <w:pPr>
              <w:pStyle w:val="NormalWeb"/>
              <w:spacing w:before="0" w:beforeAutospacing="0" w:after="0" w:afterAutospacing="0"/>
              <w:ind w:right="51"/>
              <w:rPr>
                <w:rStyle w:val="Textoennegrita"/>
                <w:rFonts w:ascii="Arial" w:hAnsi="Arial" w:cs="Arial"/>
                <w:b w:val="0"/>
                <w:sz w:val="20"/>
                <w:szCs w:val="20"/>
              </w:rPr>
            </w:pPr>
          </w:p>
          <w:p w:rsidR="009D0098" w:rsidRPr="009D0098" w:rsidRDefault="009D0098" w:rsidP="009D0098">
            <w:pPr>
              <w:pStyle w:val="NormalWeb"/>
              <w:spacing w:before="0" w:beforeAutospacing="0" w:after="0" w:afterAutospacing="0"/>
              <w:ind w:right="51"/>
              <w:rPr>
                <w:rFonts w:ascii="Arial" w:hAnsi="Arial" w:cs="Arial"/>
                <w:bCs/>
                <w:sz w:val="20"/>
                <w:szCs w:val="20"/>
              </w:rPr>
            </w:pPr>
            <w:r w:rsidRPr="009D0098">
              <w:rPr>
                <w:rFonts w:ascii="Arial" w:hAnsi="Arial" w:cs="Arial"/>
                <w:bCs/>
                <w:sz w:val="20"/>
                <w:szCs w:val="20"/>
              </w:rPr>
              <w:lastRenderedPageBreak/>
              <w:t>Los contribuyentes que hayan optado por presentar el dictamen de los estados financieros formulado por contador público registrado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julio del año inmediato posterior a la terminación del ejercicio de que se trate.</w:t>
            </w:r>
          </w:p>
          <w:p w:rsidR="009D0098" w:rsidRPr="009D0098" w:rsidRDefault="009D0098" w:rsidP="009D0098">
            <w:pPr>
              <w:pStyle w:val="NormalWeb"/>
              <w:spacing w:before="0" w:beforeAutospacing="0" w:after="0" w:afterAutospacing="0"/>
              <w:ind w:right="51"/>
              <w:rPr>
                <w:rFonts w:ascii="Arial" w:hAnsi="Arial" w:cs="Arial"/>
                <w:sz w:val="20"/>
                <w:szCs w:val="20"/>
              </w:rPr>
            </w:pPr>
          </w:p>
          <w:p w:rsidR="009D0098" w:rsidRPr="009D0098" w:rsidRDefault="009D0098" w:rsidP="009D0098">
            <w:pPr>
              <w:pStyle w:val="NormalWeb"/>
              <w:spacing w:before="0" w:beforeAutospacing="0" w:after="0" w:afterAutospacing="0"/>
              <w:ind w:right="51"/>
              <w:rPr>
                <w:rFonts w:ascii="Arial" w:hAnsi="Arial" w:cs="Arial"/>
                <w:bCs/>
                <w:sz w:val="20"/>
                <w:szCs w:val="20"/>
              </w:rPr>
            </w:pPr>
            <w:r w:rsidRPr="009D0098">
              <w:rPr>
                <w:rFonts w:ascii="Arial" w:hAnsi="Arial" w:cs="Arial"/>
                <w:bCs/>
                <w:sz w:val="20"/>
                <w:szCs w:val="20"/>
              </w:rPr>
              <w:t>En el caso de que en el dictamen se determinen diferencias de impuestos a pagar, éstas deberán enterarse mediante declaración complementaria en las oficinas autorizadas dentro de los diez días posteriores a la presentación del dictamen.</w:t>
            </w:r>
          </w:p>
          <w:p w:rsidR="009D0098" w:rsidRPr="009D0098" w:rsidRDefault="009D0098" w:rsidP="009D0098">
            <w:pPr>
              <w:pStyle w:val="NormalWeb"/>
              <w:spacing w:before="0" w:beforeAutospacing="0" w:after="0" w:afterAutospacing="0"/>
              <w:ind w:right="51"/>
              <w:rPr>
                <w:rFonts w:ascii="Arial" w:hAnsi="Arial" w:cs="Arial"/>
                <w:bCs/>
                <w:sz w:val="20"/>
                <w:szCs w:val="20"/>
              </w:rPr>
            </w:pPr>
          </w:p>
          <w:p w:rsidR="00EC0111" w:rsidRPr="009D0098" w:rsidRDefault="009D0098" w:rsidP="00D319CD">
            <w:pPr>
              <w:jc w:val="both"/>
              <w:rPr>
                <w:rFonts w:ascii="Arial" w:hAnsi="Arial" w:cs="Arial"/>
                <w:bCs/>
                <w:sz w:val="20"/>
                <w:szCs w:val="20"/>
              </w:rPr>
            </w:pPr>
            <w:r w:rsidRPr="009D0098">
              <w:rPr>
                <w:rFonts w:ascii="Arial" w:hAnsi="Arial" w:cs="Arial"/>
                <w:bCs/>
                <w:sz w:val="20"/>
                <w:szCs w:val="20"/>
              </w:rPr>
              <w:t>Los contribuyentes que ejerzan la opción a que se refiere este artículo, tendrán por cumplida la obligación de presentar la declaración informativa sobre su situación fiscal a que se refiere el artículo 32-H de este Código.</w:t>
            </w:r>
          </w:p>
          <w:p w:rsidR="009D0098" w:rsidRPr="009D0098" w:rsidRDefault="009D0098" w:rsidP="009D0098">
            <w:pPr>
              <w:rPr>
                <w:rFonts w:ascii="Arial" w:hAnsi="Arial" w:cs="Arial"/>
                <w:sz w:val="20"/>
                <w:szCs w:val="20"/>
              </w:rPr>
            </w:pPr>
          </w:p>
        </w:tc>
        <w:tc>
          <w:tcPr>
            <w:tcW w:w="4382" w:type="dxa"/>
          </w:tcPr>
          <w:p w:rsidR="009D0098" w:rsidRPr="009D0098" w:rsidRDefault="009D0098" w:rsidP="009D0098">
            <w:pPr>
              <w:jc w:val="both"/>
              <w:rPr>
                <w:rFonts w:ascii="Arial" w:hAnsi="Arial" w:cs="Arial"/>
                <w:sz w:val="20"/>
                <w:szCs w:val="20"/>
              </w:rPr>
            </w:pPr>
          </w:p>
          <w:p w:rsidR="009D0098" w:rsidRPr="009D0098" w:rsidRDefault="009D0098" w:rsidP="009D0098">
            <w:pPr>
              <w:jc w:val="both"/>
              <w:rPr>
                <w:rFonts w:ascii="Arial" w:hAnsi="Arial" w:cs="Arial"/>
                <w:sz w:val="20"/>
                <w:szCs w:val="20"/>
              </w:rPr>
            </w:pPr>
            <w:r w:rsidRPr="009D0098">
              <w:rPr>
                <w:rFonts w:ascii="Arial" w:hAnsi="Arial" w:cs="Arial"/>
                <w:sz w:val="20"/>
                <w:szCs w:val="20"/>
              </w:rPr>
              <w:t>Considerando los beneficios que conlleva el dictaminar los estados financieros por contador público autorizado, tanto para las autoridades fiscales, como para los contribuyentes que ejerzan la opción en términos del artículo 32-A, no debe limitarse a un grupo de contribuyentes que se definan por los ingresos acumulables obtenidos en el ejercicio anterior o por el valor de los activos que posean o por el número trabajadores que les hayan prestado servicio en cada uno de los meses del ejercicio inmediato anterior, así como también debe considerarse el Principio de Equidad en materia fiscal establecido en nuestra Carta Magna.</w:t>
            </w:r>
          </w:p>
          <w:p w:rsidR="009D0098" w:rsidRPr="009D0098" w:rsidRDefault="009D0098" w:rsidP="009D0098">
            <w:pPr>
              <w:jc w:val="both"/>
              <w:rPr>
                <w:rFonts w:ascii="Arial" w:hAnsi="Arial" w:cs="Arial"/>
                <w:sz w:val="20"/>
                <w:szCs w:val="20"/>
              </w:rPr>
            </w:pPr>
          </w:p>
          <w:p w:rsidR="009D0098" w:rsidRPr="009D0098" w:rsidRDefault="009D0098" w:rsidP="009D0098">
            <w:pPr>
              <w:jc w:val="both"/>
              <w:rPr>
                <w:rFonts w:ascii="Arial" w:hAnsi="Arial" w:cs="Arial"/>
                <w:sz w:val="20"/>
                <w:szCs w:val="20"/>
              </w:rPr>
            </w:pPr>
            <w:r w:rsidRPr="009D0098">
              <w:rPr>
                <w:rFonts w:ascii="Arial" w:hAnsi="Arial" w:cs="Arial"/>
                <w:sz w:val="20"/>
                <w:szCs w:val="20"/>
              </w:rPr>
              <w:t>Se propone, que la opción de dictaminar los estados financieros por contador público autorizado en los términos del artículo 32-A, sea igual para todos los contribuyentes con las misma</w:t>
            </w:r>
            <w:r w:rsidRPr="009D0098">
              <w:rPr>
                <w:rFonts w:ascii="Arial" w:hAnsi="Arial" w:cs="Arial"/>
                <w:sz w:val="20"/>
                <w:szCs w:val="20"/>
              </w:rPr>
              <w:t>s</w:t>
            </w:r>
            <w:r w:rsidRPr="009D0098">
              <w:rPr>
                <w:rFonts w:ascii="Arial" w:hAnsi="Arial" w:cs="Arial"/>
                <w:sz w:val="20"/>
                <w:szCs w:val="20"/>
              </w:rPr>
              <w:t xml:space="preserve"> condiciones establecidas en dicho artículo sin distinción alguna.</w:t>
            </w:r>
            <w:r w:rsidR="000C2E9B">
              <w:rPr>
                <w:rFonts w:ascii="Arial" w:hAnsi="Arial" w:cs="Arial"/>
                <w:sz w:val="20"/>
                <w:szCs w:val="20"/>
              </w:rPr>
              <w:t xml:space="preserve"> </w:t>
            </w:r>
            <w:r w:rsidRPr="009D0098">
              <w:rPr>
                <w:rFonts w:ascii="Arial" w:hAnsi="Arial" w:cs="Arial"/>
                <w:sz w:val="20"/>
                <w:szCs w:val="20"/>
              </w:rPr>
              <w:t>Cabe señalar que las limitantes establecidas en el artículo 32-A beneficia solamente a los contribuyentes con mayor capacidad económica, dejando fuera de este beneficio a los contribuyentes con menor capacidad económica, pero con las mismas obligaciones fiscales para ambos contribuyentes, razón por lo cual hace que la disposición sea inequitativa.</w:t>
            </w:r>
          </w:p>
          <w:p w:rsidR="009D0098" w:rsidRPr="009D0098" w:rsidRDefault="009D0098" w:rsidP="009D0098">
            <w:pPr>
              <w:jc w:val="both"/>
              <w:rPr>
                <w:rFonts w:ascii="Arial" w:hAnsi="Arial" w:cs="Arial"/>
                <w:sz w:val="20"/>
                <w:szCs w:val="20"/>
              </w:rPr>
            </w:pPr>
          </w:p>
          <w:p w:rsidR="009D0098" w:rsidRPr="009D0098" w:rsidRDefault="009D0098" w:rsidP="000C2E9B">
            <w:pPr>
              <w:jc w:val="both"/>
              <w:rPr>
                <w:rFonts w:ascii="Arial" w:hAnsi="Arial" w:cs="Arial"/>
                <w:sz w:val="20"/>
                <w:szCs w:val="20"/>
              </w:rPr>
            </w:pPr>
            <w:r w:rsidRPr="009D0098">
              <w:rPr>
                <w:rFonts w:ascii="Arial" w:hAnsi="Arial" w:cs="Arial"/>
                <w:sz w:val="20"/>
                <w:szCs w:val="20"/>
              </w:rPr>
              <w:t xml:space="preserve">Los beneficios que representa esta adecuación al art. 32-A </w:t>
            </w:r>
            <w:r w:rsidR="000C2E9B" w:rsidRPr="009D0098">
              <w:rPr>
                <w:rFonts w:ascii="Arial" w:hAnsi="Arial" w:cs="Arial"/>
                <w:sz w:val="20"/>
                <w:szCs w:val="20"/>
              </w:rPr>
              <w:t>serían</w:t>
            </w:r>
            <w:r w:rsidRPr="009D0098">
              <w:rPr>
                <w:rFonts w:ascii="Arial" w:hAnsi="Arial" w:cs="Arial"/>
                <w:sz w:val="20"/>
                <w:szCs w:val="20"/>
              </w:rPr>
              <w:t xml:space="preserve"> los siguientes: </w:t>
            </w:r>
          </w:p>
          <w:p w:rsidR="009D0098" w:rsidRDefault="000C2E9B" w:rsidP="000C2E9B">
            <w:pPr>
              <w:rPr>
                <w:rFonts w:ascii="Arial" w:hAnsi="Arial" w:cs="Arial"/>
                <w:sz w:val="20"/>
                <w:szCs w:val="20"/>
              </w:rPr>
            </w:pPr>
            <w:r>
              <w:rPr>
                <w:rFonts w:ascii="Arial" w:hAnsi="Arial" w:cs="Arial"/>
                <w:sz w:val="20"/>
                <w:szCs w:val="20"/>
              </w:rPr>
              <w:lastRenderedPageBreak/>
              <w:t>Beneficios p</w:t>
            </w:r>
            <w:r w:rsidR="009D0098" w:rsidRPr="009D0098">
              <w:rPr>
                <w:rFonts w:ascii="Arial" w:hAnsi="Arial" w:cs="Arial"/>
                <w:sz w:val="20"/>
                <w:szCs w:val="20"/>
              </w:rPr>
              <w:t>ara el contribuyente:</w:t>
            </w:r>
          </w:p>
          <w:p w:rsidR="000C2E9B" w:rsidRPr="009D0098" w:rsidRDefault="000C2E9B" w:rsidP="000C2E9B">
            <w:pPr>
              <w:rPr>
                <w:rFonts w:ascii="Arial" w:hAnsi="Arial" w:cs="Arial"/>
                <w:sz w:val="20"/>
                <w:szCs w:val="20"/>
              </w:rPr>
            </w:pPr>
          </w:p>
          <w:p w:rsidR="009D0098" w:rsidRPr="000C2E9B" w:rsidRDefault="009D0098" w:rsidP="000C2E9B">
            <w:pPr>
              <w:pStyle w:val="Prrafodelista"/>
              <w:numPr>
                <w:ilvl w:val="0"/>
                <w:numId w:val="2"/>
              </w:numPr>
              <w:spacing w:after="200"/>
              <w:jc w:val="both"/>
              <w:rPr>
                <w:rFonts w:ascii="Arial" w:hAnsi="Arial" w:cs="Arial"/>
                <w:sz w:val="20"/>
                <w:szCs w:val="20"/>
              </w:rPr>
            </w:pPr>
            <w:r w:rsidRPr="000C2E9B">
              <w:rPr>
                <w:rFonts w:ascii="Arial" w:hAnsi="Arial" w:cs="Arial"/>
                <w:sz w:val="20"/>
                <w:szCs w:val="20"/>
              </w:rPr>
              <w:t>S</w:t>
            </w:r>
            <w:r w:rsidRPr="000C2E9B">
              <w:rPr>
                <w:rFonts w:ascii="Arial" w:hAnsi="Arial" w:cs="Arial"/>
                <w:sz w:val="20"/>
                <w:szCs w:val="20"/>
              </w:rPr>
              <w:t>eguridad jurídic</w:t>
            </w:r>
            <w:r w:rsidRPr="000C2E9B">
              <w:rPr>
                <w:rFonts w:ascii="Arial" w:hAnsi="Arial" w:cs="Arial"/>
                <w:sz w:val="20"/>
                <w:szCs w:val="20"/>
              </w:rPr>
              <w:t>a a sus accionistas y/o dueños sobre el correcto cumplimiento de sus obligaciones fiscales</w:t>
            </w:r>
          </w:p>
          <w:p w:rsidR="009D0098" w:rsidRPr="000C2E9B" w:rsidRDefault="009D0098" w:rsidP="000C2E9B">
            <w:pPr>
              <w:pStyle w:val="Prrafodelista"/>
              <w:numPr>
                <w:ilvl w:val="0"/>
                <w:numId w:val="2"/>
              </w:numPr>
              <w:spacing w:after="200"/>
              <w:jc w:val="both"/>
              <w:rPr>
                <w:rFonts w:ascii="Arial" w:hAnsi="Arial" w:cs="Arial"/>
                <w:sz w:val="20"/>
                <w:szCs w:val="20"/>
              </w:rPr>
            </w:pPr>
            <w:r w:rsidRPr="000C2E9B">
              <w:rPr>
                <w:rFonts w:ascii="Arial" w:hAnsi="Arial" w:cs="Arial"/>
                <w:sz w:val="20"/>
                <w:szCs w:val="20"/>
              </w:rPr>
              <w:t xml:space="preserve">Contar con la </w:t>
            </w:r>
            <w:r w:rsidRPr="000C2E9B">
              <w:rPr>
                <w:rFonts w:ascii="Arial" w:hAnsi="Arial" w:cs="Arial"/>
                <w:sz w:val="20"/>
                <w:szCs w:val="20"/>
              </w:rPr>
              <w:t>Revisión secuencial</w:t>
            </w:r>
            <w:r w:rsidRPr="000C2E9B">
              <w:rPr>
                <w:rFonts w:ascii="Arial" w:hAnsi="Arial" w:cs="Arial"/>
                <w:sz w:val="20"/>
                <w:szCs w:val="20"/>
              </w:rPr>
              <w:t xml:space="preserve"> que permite revisar en primera instancia al Contador </w:t>
            </w:r>
            <w:r w:rsidR="000C2E9B" w:rsidRPr="000C2E9B">
              <w:rPr>
                <w:rFonts w:ascii="Arial" w:hAnsi="Arial" w:cs="Arial"/>
                <w:sz w:val="20"/>
                <w:szCs w:val="20"/>
              </w:rPr>
              <w:t>Público</w:t>
            </w:r>
            <w:r w:rsidRPr="000C2E9B">
              <w:rPr>
                <w:rFonts w:ascii="Arial" w:hAnsi="Arial" w:cs="Arial"/>
                <w:sz w:val="20"/>
                <w:szCs w:val="20"/>
              </w:rPr>
              <w:t xml:space="preserve"> y después al contribuyente.</w:t>
            </w:r>
          </w:p>
          <w:p w:rsidR="009D0098" w:rsidRPr="000C2E9B" w:rsidRDefault="000C2E9B" w:rsidP="000C2E9B">
            <w:pPr>
              <w:pStyle w:val="Prrafodelista"/>
              <w:numPr>
                <w:ilvl w:val="0"/>
                <w:numId w:val="2"/>
              </w:numPr>
              <w:spacing w:after="200"/>
              <w:jc w:val="both"/>
              <w:rPr>
                <w:rFonts w:ascii="Arial" w:hAnsi="Arial" w:cs="Arial"/>
                <w:sz w:val="20"/>
                <w:szCs w:val="20"/>
              </w:rPr>
            </w:pPr>
            <w:r w:rsidRPr="000C2E9B">
              <w:rPr>
                <w:rFonts w:ascii="Arial" w:hAnsi="Arial" w:cs="Arial"/>
                <w:sz w:val="20"/>
                <w:szCs w:val="20"/>
              </w:rPr>
              <w:t xml:space="preserve">La </w:t>
            </w:r>
            <w:r w:rsidR="009D0098" w:rsidRPr="000C2E9B">
              <w:rPr>
                <w:rFonts w:ascii="Arial" w:hAnsi="Arial" w:cs="Arial"/>
                <w:sz w:val="20"/>
                <w:szCs w:val="20"/>
              </w:rPr>
              <w:t>Complementaria por dictamen (no cuenta para el límite de declaraciones presentadas).</w:t>
            </w:r>
          </w:p>
          <w:p w:rsidR="009D0098" w:rsidRPr="000C2E9B" w:rsidRDefault="000C2E9B" w:rsidP="000C2E9B">
            <w:pPr>
              <w:pStyle w:val="Prrafodelista"/>
              <w:numPr>
                <w:ilvl w:val="0"/>
                <w:numId w:val="2"/>
              </w:numPr>
              <w:spacing w:after="200"/>
              <w:jc w:val="both"/>
              <w:rPr>
                <w:rFonts w:ascii="Arial" w:hAnsi="Arial" w:cs="Arial"/>
                <w:sz w:val="20"/>
                <w:szCs w:val="20"/>
              </w:rPr>
            </w:pPr>
            <w:r w:rsidRPr="000C2E9B">
              <w:rPr>
                <w:rFonts w:ascii="Arial" w:hAnsi="Arial" w:cs="Arial"/>
                <w:sz w:val="20"/>
                <w:szCs w:val="20"/>
              </w:rPr>
              <w:t xml:space="preserve">El </w:t>
            </w:r>
            <w:r w:rsidR="009D0098" w:rsidRPr="000C2E9B">
              <w:rPr>
                <w:rFonts w:ascii="Arial" w:hAnsi="Arial" w:cs="Arial"/>
                <w:sz w:val="20"/>
                <w:szCs w:val="20"/>
              </w:rPr>
              <w:t>Cumplimiento de pago de impuestos espontáneo, (10 días posteriores a la presentación del dictamen).</w:t>
            </w:r>
          </w:p>
          <w:p w:rsidR="009D0098" w:rsidRPr="000C2E9B" w:rsidRDefault="009D0098" w:rsidP="000C2E9B">
            <w:pPr>
              <w:pStyle w:val="Prrafodelista"/>
              <w:numPr>
                <w:ilvl w:val="0"/>
                <w:numId w:val="2"/>
              </w:numPr>
              <w:spacing w:after="200"/>
              <w:jc w:val="both"/>
              <w:rPr>
                <w:rFonts w:ascii="Arial" w:hAnsi="Arial" w:cs="Arial"/>
                <w:sz w:val="20"/>
                <w:szCs w:val="20"/>
              </w:rPr>
            </w:pPr>
            <w:r w:rsidRPr="000C2E9B">
              <w:rPr>
                <w:rFonts w:ascii="Arial" w:hAnsi="Arial" w:cs="Arial"/>
                <w:sz w:val="20"/>
                <w:szCs w:val="20"/>
              </w:rPr>
              <w:t>Reducción del plazo de devolución d</w:t>
            </w:r>
            <w:r w:rsidR="000C2E9B" w:rsidRPr="000C2E9B">
              <w:rPr>
                <w:rFonts w:ascii="Arial" w:hAnsi="Arial" w:cs="Arial"/>
                <w:sz w:val="20"/>
                <w:szCs w:val="20"/>
              </w:rPr>
              <w:t xml:space="preserve">e saldos a favor (40 a 25 días) y la </w:t>
            </w:r>
            <w:r w:rsidRPr="000C2E9B">
              <w:rPr>
                <w:rFonts w:ascii="Arial" w:hAnsi="Arial" w:cs="Arial"/>
                <w:sz w:val="20"/>
                <w:szCs w:val="20"/>
              </w:rPr>
              <w:t>Devolución de saldos a favor del IVA con declaratoria del CPR.</w:t>
            </w:r>
          </w:p>
          <w:p w:rsidR="000C2E9B" w:rsidRDefault="000C2E9B" w:rsidP="009D0098">
            <w:pPr>
              <w:rPr>
                <w:rFonts w:ascii="Arial" w:hAnsi="Arial" w:cs="Arial"/>
                <w:sz w:val="20"/>
                <w:szCs w:val="20"/>
              </w:rPr>
            </w:pPr>
            <w:r>
              <w:rPr>
                <w:rFonts w:ascii="Arial" w:hAnsi="Arial" w:cs="Arial"/>
                <w:sz w:val="20"/>
                <w:szCs w:val="20"/>
              </w:rPr>
              <w:t>Beneficios para la Autoridad</w:t>
            </w:r>
          </w:p>
          <w:p w:rsidR="000C2E9B" w:rsidRDefault="000C2E9B" w:rsidP="009D0098">
            <w:pPr>
              <w:rPr>
                <w:rFonts w:ascii="Arial" w:hAnsi="Arial" w:cs="Arial"/>
                <w:sz w:val="20"/>
                <w:szCs w:val="20"/>
              </w:rPr>
            </w:pPr>
          </w:p>
          <w:p w:rsidR="000C2E9B" w:rsidRDefault="000C2E9B" w:rsidP="000C2E9B">
            <w:pPr>
              <w:pStyle w:val="Prrafodelista"/>
              <w:numPr>
                <w:ilvl w:val="0"/>
                <w:numId w:val="4"/>
              </w:numPr>
              <w:spacing w:after="200"/>
              <w:jc w:val="both"/>
              <w:rPr>
                <w:rFonts w:ascii="Arial" w:hAnsi="Arial" w:cs="Arial"/>
                <w:sz w:val="20"/>
                <w:szCs w:val="20"/>
              </w:rPr>
            </w:pPr>
            <w:r>
              <w:rPr>
                <w:rFonts w:ascii="Arial" w:hAnsi="Arial" w:cs="Arial"/>
                <w:sz w:val="20"/>
                <w:szCs w:val="20"/>
              </w:rPr>
              <w:t>Obtener e</w:t>
            </w:r>
            <w:r w:rsidRPr="000C2E9B">
              <w:rPr>
                <w:rFonts w:ascii="Arial" w:hAnsi="Arial" w:cs="Arial"/>
                <w:sz w:val="20"/>
                <w:szCs w:val="20"/>
              </w:rPr>
              <w:t>l</w:t>
            </w:r>
            <w:r w:rsidRPr="000C2E9B">
              <w:rPr>
                <w:rFonts w:ascii="Arial" w:hAnsi="Arial" w:cs="Arial"/>
                <w:sz w:val="20"/>
                <w:szCs w:val="20"/>
              </w:rPr>
              <w:t xml:space="preserve"> pago de diferencias por créditos fiscales que la autoridad deja de recaudar y que a la fecha han sido detectadas por dictamen efectuado por Contador Público Registrado</w:t>
            </w:r>
          </w:p>
          <w:p w:rsidR="000C2E9B" w:rsidRDefault="000C2E9B" w:rsidP="000C2E9B">
            <w:pPr>
              <w:pStyle w:val="Prrafodelista"/>
              <w:spacing w:after="200"/>
              <w:jc w:val="both"/>
              <w:rPr>
                <w:rFonts w:ascii="Arial" w:hAnsi="Arial" w:cs="Arial"/>
                <w:sz w:val="20"/>
                <w:szCs w:val="20"/>
              </w:rPr>
            </w:pPr>
          </w:p>
          <w:p w:rsidR="000C2E9B" w:rsidRPr="000C2E9B" w:rsidRDefault="000C2E9B" w:rsidP="000C2E9B">
            <w:pPr>
              <w:pStyle w:val="Prrafodelista"/>
              <w:numPr>
                <w:ilvl w:val="0"/>
                <w:numId w:val="4"/>
              </w:numPr>
              <w:spacing w:after="200"/>
              <w:jc w:val="both"/>
              <w:rPr>
                <w:rFonts w:ascii="Arial" w:hAnsi="Arial" w:cs="Arial"/>
                <w:sz w:val="20"/>
                <w:szCs w:val="20"/>
              </w:rPr>
            </w:pPr>
            <w:r w:rsidRPr="000C2E9B">
              <w:rPr>
                <w:rFonts w:ascii="Arial" w:hAnsi="Arial" w:cs="Arial"/>
                <w:sz w:val="20"/>
                <w:szCs w:val="20"/>
              </w:rPr>
              <w:t>S</w:t>
            </w:r>
            <w:r w:rsidRPr="000C2E9B">
              <w:rPr>
                <w:rFonts w:ascii="Arial" w:hAnsi="Arial" w:cs="Arial"/>
                <w:sz w:val="20"/>
                <w:szCs w:val="20"/>
              </w:rPr>
              <w:t xml:space="preserve">umar </w:t>
            </w:r>
            <w:r w:rsidRPr="000C2E9B">
              <w:rPr>
                <w:rFonts w:ascii="Arial" w:hAnsi="Arial" w:cs="Arial"/>
                <w:sz w:val="20"/>
                <w:szCs w:val="20"/>
              </w:rPr>
              <w:t xml:space="preserve">al trabajo de fiscalización que realizan las autoridades hacendarias, </w:t>
            </w:r>
            <w:r w:rsidRPr="000C2E9B">
              <w:rPr>
                <w:rFonts w:ascii="Arial" w:hAnsi="Arial" w:cs="Arial"/>
                <w:sz w:val="20"/>
                <w:szCs w:val="20"/>
              </w:rPr>
              <w:t>el esfuerzo y trabajo de la contaduría organizada, a través de la fiscalización por dictamen fiscal de CPR, sin que le genere ningún costo adicional.</w:t>
            </w:r>
          </w:p>
          <w:p w:rsidR="00D319CD" w:rsidRDefault="00D319CD" w:rsidP="009D0098">
            <w:pPr>
              <w:rPr>
                <w:rFonts w:ascii="Arial" w:hAnsi="Arial" w:cs="Arial"/>
                <w:sz w:val="20"/>
                <w:szCs w:val="20"/>
              </w:rPr>
            </w:pPr>
          </w:p>
          <w:p w:rsidR="00D319CD" w:rsidRDefault="00D319CD" w:rsidP="00D319CD">
            <w:pPr>
              <w:jc w:val="both"/>
              <w:rPr>
                <w:rFonts w:ascii="Arial" w:hAnsi="Arial" w:cs="Arial"/>
                <w:sz w:val="20"/>
                <w:szCs w:val="20"/>
              </w:rPr>
            </w:pPr>
          </w:p>
          <w:p w:rsidR="00D319CD" w:rsidRDefault="00F419EE" w:rsidP="00D319CD">
            <w:pPr>
              <w:spacing w:after="200"/>
              <w:jc w:val="both"/>
              <w:rPr>
                <w:rFonts w:ascii="Arial" w:hAnsi="Arial" w:cs="Arial"/>
                <w:sz w:val="20"/>
                <w:szCs w:val="20"/>
              </w:rPr>
            </w:pPr>
            <w:r>
              <w:rPr>
                <w:rFonts w:ascii="Arial" w:hAnsi="Arial" w:cs="Arial"/>
                <w:sz w:val="20"/>
                <w:szCs w:val="20"/>
              </w:rPr>
              <w:t>Adicionalmente como dato de referencia</w:t>
            </w:r>
            <w:r w:rsidR="00D319CD" w:rsidRPr="00D319CD">
              <w:rPr>
                <w:rFonts w:ascii="Arial" w:hAnsi="Arial" w:cs="Arial"/>
                <w:sz w:val="20"/>
                <w:szCs w:val="20"/>
              </w:rPr>
              <w:t xml:space="preserve">  los dictámenes presentados por el ejercicio 2013 fueron superiores a los 89,000 y con las restricciones  marcadas para el 2014 fueron escasamente  20,000 los dictámenes presentados, lo que significa un decremento del más del 77% </w:t>
            </w:r>
            <w:r>
              <w:rPr>
                <w:rFonts w:ascii="Arial" w:hAnsi="Arial" w:cs="Arial"/>
                <w:sz w:val="20"/>
                <w:szCs w:val="20"/>
              </w:rPr>
              <w:t>en un año en la fiscalización vía dictamen fiscal.</w:t>
            </w:r>
          </w:p>
          <w:p w:rsidR="00F419EE" w:rsidRDefault="00F419EE" w:rsidP="00F419EE">
            <w:pPr>
              <w:jc w:val="both"/>
              <w:rPr>
                <w:rFonts w:ascii="Arial" w:hAnsi="Arial" w:cs="Arial"/>
                <w:sz w:val="20"/>
                <w:szCs w:val="20"/>
              </w:rPr>
            </w:pPr>
            <w:r>
              <w:rPr>
                <w:rFonts w:ascii="Arial" w:hAnsi="Arial" w:cs="Arial"/>
                <w:sz w:val="20"/>
                <w:szCs w:val="20"/>
              </w:rPr>
              <w:t>Cabe  hacer mención que la adecuación propuesta</w:t>
            </w:r>
            <w:r>
              <w:rPr>
                <w:rFonts w:ascii="Arial" w:hAnsi="Arial" w:cs="Arial"/>
                <w:sz w:val="20"/>
                <w:szCs w:val="20"/>
              </w:rPr>
              <w:t xml:space="preserve"> </w:t>
            </w:r>
            <w:r>
              <w:rPr>
                <w:rFonts w:ascii="Arial" w:hAnsi="Arial" w:cs="Arial"/>
                <w:sz w:val="20"/>
                <w:szCs w:val="20"/>
              </w:rPr>
              <w:t xml:space="preserve">por el IMCP, </w:t>
            </w:r>
            <w:r>
              <w:rPr>
                <w:rFonts w:ascii="Arial" w:hAnsi="Arial" w:cs="Arial"/>
                <w:sz w:val="20"/>
                <w:szCs w:val="20"/>
              </w:rPr>
              <w:t xml:space="preserve">al art. 32-A del CFF, </w:t>
            </w:r>
            <w:r w:rsidRPr="00D319CD">
              <w:rPr>
                <w:rFonts w:ascii="Arial" w:hAnsi="Arial" w:cs="Arial"/>
                <w:sz w:val="20"/>
                <w:szCs w:val="20"/>
              </w:rPr>
              <w:t>no contraviene lo dispuesto por el Acuerdo de Certidumbre Tributaria, en virtud de que no se trata de un</w:t>
            </w:r>
            <w:bookmarkStart w:id="0" w:name="_GoBack"/>
            <w:bookmarkEnd w:id="0"/>
            <w:r w:rsidRPr="00D319CD">
              <w:rPr>
                <w:rFonts w:ascii="Arial" w:hAnsi="Arial" w:cs="Arial"/>
                <w:sz w:val="20"/>
                <w:szCs w:val="20"/>
              </w:rPr>
              <w:t xml:space="preserve">a carga fiscal adicional para el contribuyente, al contrario, representa un beneficio optativo </w:t>
            </w:r>
            <w:r>
              <w:rPr>
                <w:rFonts w:ascii="Arial" w:hAnsi="Arial" w:cs="Arial"/>
                <w:sz w:val="20"/>
                <w:szCs w:val="20"/>
              </w:rPr>
              <w:t>aquel</w:t>
            </w:r>
            <w:r w:rsidRPr="00D319CD">
              <w:rPr>
                <w:rFonts w:ascii="Arial" w:hAnsi="Arial" w:cs="Arial"/>
                <w:sz w:val="20"/>
                <w:szCs w:val="20"/>
              </w:rPr>
              <w:t xml:space="preserve"> que decida implementarlo y también un beneficio para la autoridad al contar con una fiscalización adicional realizada por contadores públicos certificados y debidamente registrados ante el Servic</w:t>
            </w:r>
            <w:r>
              <w:rPr>
                <w:rFonts w:ascii="Arial" w:hAnsi="Arial" w:cs="Arial"/>
                <w:sz w:val="20"/>
                <w:szCs w:val="20"/>
              </w:rPr>
              <w:t>io de Administración Tributaria.</w:t>
            </w:r>
          </w:p>
          <w:p w:rsidR="00F419EE" w:rsidRPr="00D319CD" w:rsidRDefault="00F419EE" w:rsidP="00D319CD">
            <w:pPr>
              <w:spacing w:after="200"/>
              <w:jc w:val="both"/>
              <w:rPr>
                <w:rFonts w:ascii="Arial" w:hAnsi="Arial" w:cs="Arial"/>
                <w:sz w:val="20"/>
                <w:szCs w:val="20"/>
              </w:rPr>
            </w:pPr>
          </w:p>
          <w:p w:rsidR="00EC0111" w:rsidRPr="009D0098" w:rsidRDefault="00EC0111" w:rsidP="00D319CD">
            <w:pPr>
              <w:jc w:val="both"/>
              <w:rPr>
                <w:rFonts w:ascii="Arial" w:hAnsi="Arial" w:cs="Arial"/>
                <w:sz w:val="20"/>
                <w:szCs w:val="20"/>
              </w:rPr>
            </w:pPr>
          </w:p>
        </w:tc>
      </w:tr>
    </w:tbl>
    <w:p w:rsidR="00EC0111" w:rsidRPr="009D0098" w:rsidRDefault="00EC0111">
      <w:pPr>
        <w:rPr>
          <w:rFonts w:ascii="Arial" w:hAnsi="Arial" w:cs="Arial"/>
          <w:sz w:val="20"/>
          <w:szCs w:val="20"/>
        </w:rPr>
      </w:pPr>
    </w:p>
    <w:sectPr w:rsidR="00EC0111" w:rsidRPr="009D0098" w:rsidSect="00EC0111">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5B" w:rsidRDefault="000B745B" w:rsidP="00F419EE">
      <w:r>
        <w:separator/>
      </w:r>
    </w:p>
  </w:endnote>
  <w:endnote w:type="continuationSeparator" w:id="0">
    <w:p w:rsidR="000B745B" w:rsidRDefault="000B745B" w:rsidP="00F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71"/>
      <w:gridCol w:w="11851"/>
    </w:tblGrid>
    <w:tr w:rsidR="00F419EE">
      <w:tc>
        <w:tcPr>
          <w:tcW w:w="918" w:type="dxa"/>
        </w:tcPr>
        <w:p w:rsidR="00F419EE" w:rsidRPr="00F419EE" w:rsidRDefault="00F419EE">
          <w:pPr>
            <w:pStyle w:val="Piedepgina"/>
            <w:jc w:val="right"/>
            <w:rPr>
              <w:b/>
              <w:bCs/>
              <w:color w:val="4F81BD" w:themeColor="accent1"/>
              <w:sz w:val="16"/>
              <w:szCs w:val="16"/>
              <w14:numForm w14:val="oldStyle"/>
            </w:rPr>
          </w:pPr>
          <w:r w:rsidRPr="00F419EE">
            <w:rPr>
              <w:sz w:val="16"/>
              <w:szCs w:val="16"/>
              <w14:shadow w14:blurRad="50800" w14:dist="38100" w14:dir="2700000" w14:sx="100000" w14:sy="100000" w14:kx="0" w14:ky="0" w14:algn="tl">
                <w14:srgbClr w14:val="000000">
                  <w14:alpha w14:val="60000"/>
                </w14:srgbClr>
              </w14:shadow>
              <w14:numForm w14:val="oldStyle"/>
            </w:rPr>
            <w:fldChar w:fldCharType="begin"/>
          </w:r>
          <w:r w:rsidRPr="00F419EE">
            <w:rPr>
              <w:sz w:val="16"/>
              <w:szCs w:val="16"/>
              <w14:shadow w14:blurRad="50800" w14:dist="38100" w14:dir="2700000" w14:sx="100000" w14:sy="100000" w14:kx="0" w14:ky="0" w14:algn="tl">
                <w14:srgbClr w14:val="000000">
                  <w14:alpha w14:val="60000"/>
                </w14:srgbClr>
              </w14:shadow>
              <w14:numForm w14:val="oldStyle"/>
            </w:rPr>
            <w:instrText>PAGE   \* MERGEFORMAT</w:instrText>
          </w:r>
          <w:r w:rsidRPr="00F419EE">
            <w:rPr>
              <w:sz w:val="16"/>
              <w:szCs w:val="16"/>
              <w14:shadow w14:blurRad="50800" w14:dist="38100" w14:dir="2700000" w14:sx="100000" w14:sy="100000" w14:kx="0" w14:ky="0" w14:algn="tl">
                <w14:srgbClr w14:val="000000">
                  <w14:alpha w14:val="60000"/>
                </w14:srgbClr>
              </w14:shadow>
              <w14:numForm w14:val="oldStyle"/>
            </w:rPr>
            <w:fldChar w:fldCharType="separate"/>
          </w:r>
          <w:r w:rsidR="00751156" w:rsidRPr="00751156">
            <w:rPr>
              <w:b/>
              <w:bCs/>
              <w:noProof/>
              <w:color w:val="4F81BD" w:themeColor="accent1"/>
              <w:sz w:val="16"/>
              <w:szCs w:val="16"/>
              <w:lang w:val="es-ES"/>
              <w14:shadow w14:blurRad="50800" w14:dist="38100" w14:dir="2700000" w14:sx="100000" w14:sy="100000" w14:kx="0" w14:ky="0" w14:algn="tl">
                <w14:srgbClr w14:val="000000">
                  <w14:alpha w14:val="60000"/>
                </w14:srgbClr>
              </w14:shadow>
              <w14:numForm w14:val="oldStyle"/>
            </w:rPr>
            <w:t>1</w:t>
          </w:r>
          <w:r w:rsidRPr="00F419EE">
            <w:rPr>
              <w:b/>
              <w:bCs/>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419EE" w:rsidRPr="00F419EE" w:rsidRDefault="00F419EE">
          <w:pPr>
            <w:pStyle w:val="Piedepgina"/>
            <w:rPr>
              <w:sz w:val="16"/>
              <w:szCs w:val="16"/>
            </w:rPr>
          </w:pPr>
          <w:r w:rsidRPr="00F419EE">
            <w:rPr>
              <w:sz w:val="16"/>
              <w:szCs w:val="16"/>
            </w:rPr>
            <w:t>PROPUESTA DEL INSTITUTO MEXICANO DE CONTADORES PUBLICOS ANTE LA COM</w:t>
          </w:r>
          <w:r>
            <w:rPr>
              <w:sz w:val="16"/>
              <w:szCs w:val="16"/>
            </w:rPr>
            <w:t>I</w:t>
          </w:r>
          <w:r w:rsidRPr="00F419EE">
            <w:rPr>
              <w:sz w:val="16"/>
              <w:szCs w:val="16"/>
            </w:rPr>
            <w:t>SION DE HACIENDA</w:t>
          </w:r>
          <w:r w:rsidR="00751156">
            <w:rPr>
              <w:sz w:val="16"/>
              <w:szCs w:val="16"/>
            </w:rPr>
            <w:t xml:space="preserve"> Y CREDITO PUBLICO</w:t>
          </w:r>
          <w:r>
            <w:rPr>
              <w:sz w:val="16"/>
              <w:szCs w:val="16"/>
            </w:rPr>
            <w:t xml:space="preserve"> DE LA CAMARA DE DIPUTADOS</w:t>
          </w:r>
        </w:p>
      </w:tc>
    </w:tr>
  </w:tbl>
  <w:p w:rsidR="00F419EE" w:rsidRDefault="00F419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5B" w:rsidRDefault="000B745B" w:rsidP="00F419EE">
      <w:r>
        <w:separator/>
      </w:r>
    </w:p>
  </w:footnote>
  <w:footnote w:type="continuationSeparator" w:id="0">
    <w:p w:rsidR="000B745B" w:rsidRDefault="000B745B" w:rsidP="00F4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E" w:rsidRDefault="00F419EE" w:rsidP="0075115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BCA"/>
    <w:multiLevelType w:val="hybridMultilevel"/>
    <w:tmpl w:val="619AC190"/>
    <w:lvl w:ilvl="0" w:tplc="351616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BB5A52"/>
    <w:multiLevelType w:val="hybridMultilevel"/>
    <w:tmpl w:val="8D7A1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6FA46D2"/>
    <w:multiLevelType w:val="hybridMultilevel"/>
    <w:tmpl w:val="743A641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68182456"/>
    <w:multiLevelType w:val="hybridMultilevel"/>
    <w:tmpl w:val="670EEC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F2E644A"/>
    <w:multiLevelType w:val="hybridMultilevel"/>
    <w:tmpl w:val="4E72C88C"/>
    <w:lvl w:ilvl="0" w:tplc="351616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11"/>
    <w:rsid w:val="000B745B"/>
    <w:rsid w:val="000C2E9B"/>
    <w:rsid w:val="00751156"/>
    <w:rsid w:val="008E79D5"/>
    <w:rsid w:val="009D0098"/>
    <w:rsid w:val="00AB00D7"/>
    <w:rsid w:val="00D319CD"/>
    <w:rsid w:val="00EC0111"/>
    <w:rsid w:val="00F419EE"/>
    <w:rsid w:val="00F71F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F71FC3"/>
    <w:rPr>
      <w:b/>
      <w:bCs/>
    </w:rPr>
  </w:style>
  <w:style w:type="paragraph" w:styleId="NormalWeb">
    <w:name w:val="Normal (Web)"/>
    <w:aliases w:val="Normal (Web) Car"/>
    <w:basedOn w:val="Normal"/>
    <w:uiPriority w:val="99"/>
    <w:unhideWhenUsed/>
    <w:rsid w:val="00F71FC3"/>
    <w:pPr>
      <w:spacing w:before="100" w:beforeAutospacing="1" w:after="100" w:afterAutospacing="1"/>
      <w:jc w:val="both"/>
    </w:pPr>
    <w:rPr>
      <w:rFonts w:ascii="Times New Roman" w:eastAsia="Times New Roman" w:hAnsi="Times New Roman" w:cs="Times New Roman"/>
      <w:lang w:val="es-MX" w:eastAsia="es-MX"/>
    </w:rPr>
  </w:style>
  <w:style w:type="character" w:styleId="Hipervnculo">
    <w:name w:val="Hyperlink"/>
    <w:uiPriority w:val="99"/>
    <w:rsid w:val="00F71FC3"/>
    <w:rPr>
      <w:color w:val="0000FF"/>
      <w:u w:val="single"/>
    </w:rPr>
  </w:style>
  <w:style w:type="paragraph" w:styleId="Prrafodelista">
    <w:name w:val="List Paragraph"/>
    <w:basedOn w:val="Normal"/>
    <w:uiPriority w:val="34"/>
    <w:qFormat/>
    <w:rsid w:val="000C2E9B"/>
    <w:pPr>
      <w:ind w:left="720"/>
      <w:contextualSpacing/>
    </w:pPr>
  </w:style>
  <w:style w:type="paragraph" w:styleId="Encabezado">
    <w:name w:val="header"/>
    <w:basedOn w:val="Normal"/>
    <w:link w:val="EncabezadoCar"/>
    <w:uiPriority w:val="99"/>
    <w:unhideWhenUsed/>
    <w:rsid w:val="00F419EE"/>
    <w:pPr>
      <w:tabs>
        <w:tab w:val="center" w:pos="4419"/>
        <w:tab w:val="right" w:pos="8838"/>
      </w:tabs>
    </w:pPr>
  </w:style>
  <w:style w:type="character" w:customStyle="1" w:styleId="EncabezadoCar">
    <w:name w:val="Encabezado Car"/>
    <w:basedOn w:val="Fuentedeprrafopredeter"/>
    <w:link w:val="Encabezado"/>
    <w:uiPriority w:val="99"/>
    <w:rsid w:val="00F419EE"/>
  </w:style>
  <w:style w:type="paragraph" w:styleId="Piedepgina">
    <w:name w:val="footer"/>
    <w:basedOn w:val="Normal"/>
    <w:link w:val="PiedepginaCar"/>
    <w:uiPriority w:val="99"/>
    <w:unhideWhenUsed/>
    <w:rsid w:val="00F419EE"/>
    <w:pPr>
      <w:tabs>
        <w:tab w:val="center" w:pos="4419"/>
        <w:tab w:val="right" w:pos="8838"/>
      </w:tabs>
    </w:pPr>
  </w:style>
  <w:style w:type="character" w:customStyle="1" w:styleId="PiedepginaCar">
    <w:name w:val="Pie de página Car"/>
    <w:basedOn w:val="Fuentedeprrafopredeter"/>
    <w:link w:val="Piedepgina"/>
    <w:uiPriority w:val="99"/>
    <w:rsid w:val="00F41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F71FC3"/>
    <w:rPr>
      <w:b/>
      <w:bCs/>
    </w:rPr>
  </w:style>
  <w:style w:type="paragraph" w:styleId="NormalWeb">
    <w:name w:val="Normal (Web)"/>
    <w:aliases w:val="Normal (Web) Car"/>
    <w:basedOn w:val="Normal"/>
    <w:uiPriority w:val="99"/>
    <w:unhideWhenUsed/>
    <w:rsid w:val="00F71FC3"/>
    <w:pPr>
      <w:spacing w:before="100" w:beforeAutospacing="1" w:after="100" w:afterAutospacing="1"/>
      <w:jc w:val="both"/>
    </w:pPr>
    <w:rPr>
      <w:rFonts w:ascii="Times New Roman" w:eastAsia="Times New Roman" w:hAnsi="Times New Roman" w:cs="Times New Roman"/>
      <w:lang w:val="es-MX" w:eastAsia="es-MX"/>
    </w:rPr>
  </w:style>
  <w:style w:type="character" w:styleId="Hipervnculo">
    <w:name w:val="Hyperlink"/>
    <w:uiPriority w:val="99"/>
    <w:rsid w:val="00F71FC3"/>
    <w:rPr>
      <w:color w:val="0000FF"/>
      <w:u w:val="single"/>
    </w:rPr>
  </w:style>
  <w:style w:type="paragraph" w:styleId="Prrafodelista">
    <w:name w:val="List Paragraph"/>
    <w:basedOn w:val="Normal"/>
    <w:uiPriority w:val="34"/>
    <w:qFormat/>
    <w:rsid w:val="000C2E9B"/>
    <w:pPr>
      <w:ind w:left="720"/>
      <w:contextualSpacing/>
    </w:pPr>
  </w:style>
  <w:style w:type="paragraph" w:styleId="Encabezado">
    <w:name w:val="header"/>
    <w:basedOn w:val="Normal"/>
    <w:link w:val="EncabezadoCar"/>
    <w:uiPriority w:val="99"/>
    <w:unhideWhenUsed/>
    <w:rsid w:val="00F419EE"/>
    <w:pPr>
      <w:tabs>
        <w:tab w:val="center" w:pos="4419"/>
        <w:tab w:val="right" w:pos="8838"/>
      </w:tabs>
    </w:pPr>
  </w:style>
  <w:style w:type="character" w:customStyle="1" w:styleId="EncabezadoCar">
    <w:name w:val="Encabezado Car"/>
    <w:basedOn w:val="Fuentedeprrafopredeter"/>
    <w:link w:val="Encabezado"/>
    <w:uiPriority w:val="99"/>
    <w:rsid w:val="00F419EE"/>
  </w:style>
  <w:style w:type="paragraph" w:styleId="Piedepgina">
    <w:name w:val="footer"/>
    <w:basedOn w:val="Normal"/>
    <w:link w:val="PiedepginaCar"/>
    <w:uiPriority w:val="99"/>
    <w:unhideWhenUsed/>
    <w:rsid w:val="00F419EE"/>
    <w:pPr>
      <w:tabs>
        <w:tab w:val="center" w:pos="4419"/>
        <w:tab w:val="right" w:pos="8838"/>
      </w:tabs>
    </w:pPr>
  </w:style>
  <w:style w:type="character" w:customStyle="1" w:styleId="PiedepginaCar">
    <w:name w:val="Pie de página Car"/>
    <w:basedOn w:val="Fuentedeprrafopredeter"/>
    <w:link w:val="Piedepgina"/>
    <w:uiPriority w:val="99"/>
    <w:rsid w:val="00F4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1144</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Raymundo Reyes Romero</dc:creator>
  <cp:lastModifiedBy>Angélica Gómez Castillo</cp:lastModifiedBy>
  <cp:revision>3</cp:revision>
  <dcterms:created xsi:type="dcterms:W3CDTF">2015-10-09T23:46:00Z</dcterms:created>
  <dcterms:modified xsi:type="dcterms:W3CDTF">2015-10-10T00:32:00Z</dcterms:modified>
</cp:coreProperties>
</file>