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7E" w:rsidRDefault="005A587E">
      <w:pPr>
        <w:rPr>
          <w:rFonts w:ascii="Calibri" w:hAnsi="Calibri"/>
        </w:rPr>
      </w:pPr>
      <w:r>
        <w:rPr>
          <w:rFonts w:ascii="Calibri" w:hAnsi="Calibri"/>
        </w:rPr>
        <w:t>Comisión de Hacienda y Crédito Público</w:t>
      </w:r>
    </w:p>
    <w:p w:rsidR="00EC0111" w:rsidRDefault="00EC0111">
      <w:pPr>
        <w:rPr>
          <w:rFonts w:ascii="Calibri" w:hAnsi="Calibri"/>
        </w:rPr>
      </w:pPr>
    </w:p>
    <w:p w:rsidR="00AB00D7" w:rsidRPr="00EC0111" w:rsidRDefault="00EC0111">
      <w:pPr>
        <w:rPr>
          <w:rFonts w:ascii="Calibri" w:hAnsi="Calibri"/>
        </w:rPr>
      </w:pPr>
      <w:r w:rsidRPr="00EC0111">
        <w:rPr>
          <w:rFonts w:ascii="Calibri" w:hAnsi="Calibri"/>
        </w:rPr>
        <w:t>Nombre d</w:t>
      </w:r>
      <w:r w:rsidR="00973858">
        <w:rPr>
          <w:rFonts w:ascii="Calibri" w:hAnsi="Calibri"/>
        </w:rPr>
        <w:t xml:space="preserve">e la </w:t>
      </w:r>
      <w:r w:rsidR="00363543">
        <w:rPr>
          <w:rFonts w:ascii="Calibri" w:hAnsi="Calibri"/>
        </w:rPr>
        <w:t>organización: Asociación</w:t>
      </w:r>
      <w:r w:rsidR="004F56A5">
        <w:rPr>
          <w:rFonts w:ascii="Calibri" w:hAnsi="Calibri"/>
        </w:rPr>
        <w:t xml:space="preserve"> </w:t>
      </w:r>
      <w:r w:rsidR="00E57824">
        <w:rPr>
          <w:rFonts w:ascii="Calibri" w:hAnsi="Calibri"/>
        </w:rPr>
        <w:t xml:space="preserve">Mexicana de Ferrocarriles A.C. </w:t>
      </w:r>
    </w:p>
    <w:p w:rsidR="00EC0111" w:rsidRPr="00EC0111" w:rsidRDefault="00EC0111">
      <w:pPr>
        <w:rPr>
          <w:rFonts w:ascii="Calibri" w:hAnsi="Calibri"/>
        </w:rPr>
      </w:pPr>
    </w:p>
    <w:tbl>
      <w:tblPr>
        <w:tblStyle w:val="Tablaconcuadrcula"/>
        <w:tblW w:w="0" w:type="auto"/>
        <w:tblLook w:val="04A0" w:firstRow="1" w:lastRow="0" w:firstColumn="1" w:lastColumn="0" w:noHBand="0" w:noVBand="1"/>
      </w:tblPr>
      <w:tblGrid>
        <w:gridCol w:w="4333"/>
        <w:gridCol w:w="4332"/>
        <w:gridCol w:w="4331"/>
      </w:tblGrid>
      <w:tr w:rsidR="00EC0111" w:rsidRPr="00EC0111" w:rsidTr="00EC0111">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EC0111" w:rsidRPr="00E57824" w:rsidTr="00EC0111">
        <w:tc>
          <w:tcPr>
            <w:tcW w:w="4382" w:type="dxa"/>
          </w:tcPr>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9305D3" w:rsidRPr="00E57824" w:rsidRDefault="009305D3" w:rsidP="009305D3">
            <w:pPr>
              <w:shd w:val="clear" w:color="auto" w:fill="FFFFFF"/>
              <w:ind w:firstLine="288"/>
              <w:jc w:val="both"/>
              <w:rPr>
                <w:rFonts w:ascii="Arial" w:eastAsia="Times New Roman" w:hAnsi="Arial" w:cs="Arial"/>
                <w:sz w:val="20"/>
                <w:szCs w:val="20"/>
                <w:lang w:val="es-MX" w:eastAsia="es-MX"/>
              </w:rPr>
            </w:pPr>
            <w:r w:rsidRPr="00E57824">
              <w:rPr>
                <w:rFonts w:ascii="Arial" w:eastAsia="Times New Roman" w:hAnsi="Arial" w:cs="Arial"/>
                <w:b/>
                <w:bCs/>
                <w:sz w:val="20"/>
                <w:szCs w:val="20"/>
                <w:lang w:val="es-MX" w:eastAsia="es-MX"/>
              </w:rPr>
              <w:t>Artículo 16.</w:t>
            </w:r>
            <w:r w:rsidRPr="00E57824">
              <w:rPr>
                <w:rFonts w:ascii="Arial" w:eastAsia="Times New Roman" w:hAnsi="Arial" w:cs="Arial"/>
                <w:sz w:val="20"/>
                <w:szCs w:val="20"/>
                <w:lang w:val="es-MX" w:eastAsia="es-MX"/>
              </w:rPr>
              <w:t> Dur</w:t>
            </w:r>
            <w:r w:rsidR="00F818C4">
              <w:rPr>
                <w:rFonts w:ascii="Arial" w:eastAsia="Times New Roman" w:hAnsi="Arial" w:cs="Arial"/>
                <w:sz w:val="20"/>
                <w:szCs w:val="20"/>
                <w:lang w:val="es-MX" w:eastAsia="es-MX"/>
              </w:rPr>
              <w:t>ante el ejercicio fiscal de 2016</w:t>
            </w:r>
            <w:r w:rsidRPr="00E57824">
              <w:rPr>
                <w:rFonts w:ascii="Arial" w:eastAsia="Times New Roman" w:hAnsi="Arial" w:cs="Arial"/>
                <w:sz w:val="20"/>
                <w:szCs w:val="20"/>
                <w:lang w:val="es-MX" w:eastAsia="es-MX"/>
              </w:rPr>
              <w:t>, se estará a lo siguiente:</w:t>
            </w:r>
          </w:p>
          <w:p w:rsidR="004D4C82" w:rsidRPr="00E57824" w:rsidRDefault="004D4C82" w:rsidP="009305D3">
            <w:pPr>
              <w:shd w:val="clear" w:color="auto" w:fill="FFFFFF"/>
              <w:ind w:firstLine="288"/>
              <w:jc w:val="both"/>
              <w:rPr>
                <w:rFonts w:ascii="Arial" w:eastAsia="Times New Roman" w:hAnsi="Arial" w:cs="Arial"/>
                <w:sz w:val="20"/>
                <w:szCs w:val="20"/>
                <w:lang w:val="es-MX" w:eastAsia="es-MX"/>
              </w:rPr>
            </w:pPr>
          </w:p>
          <w:p w:rsidR="00EC0111" w:rsidRPr="00E57824" w:rsidRDefault="009305D3" w:rsidP="009305D3">
            <w:pPr>
              <w:shd w:val="clear" w:color="auto" w:fill="FFFFFF"/>
              <w:jc w:val="both"/>
              <w:rPr>
                <w:rFonts w:ascii="Arial" w:eastAsia="Times New Roman" w:hAnsi="Arial" w:cs="Arial"/>
                <w:sz w:val="20"/>
                <w:szCs w:val="20"/>
                <w:lang w:val="es-MX" w:eastAsia="es-MX"/>
              </w:rPr>
            </w:pPr>
            <w:r w:rsidRPr="00E57824">
              <w:rPr>
                <w:rFonts w:ascii="Arial" w:eastAsia="Times New Roman" w:hAnsi="Arial" w:cs="Arial"/>
                <w:b/>
                <w:bCs/>
                <w:sz w:val="20"/>
                <w:szCs w:val="20"/>
                <w:lang w:val="es-MX" w:eastAsia="es-MX"/>
              </w:rPr>
              <w:t>A.</w:t>
            </w:r>
            <w:r w:rsidRPr="00E57824">
              <w:rPr>
                <w:rFonts w:ascii="Arial" w:eastAsia="Times New Roman" w:hAnsi="Arial" w:cs="Arial"/>
                <w:sz w:val="20"/>
                <w:szCs w:val="20"/>
                <w:lang w:val="es-MX" w:eastAsia="es-MX"/>
              </w:rPr>
              <w:t>    En materia de estímulos fiscales</w:t>
            </w:r>
          </w:p>
          <w:p w:rsidR="00EC0111" w:rsidRPr="00E57824" w:rsidRDefault="00EC0111">
            <w:pPr>
              <w:rPr>
                <w:rFonts w:ascii="Arial" w:hAnsi="Arial" w:cs="Arial"/>
                <w:sz w:val="20"/>
                <w:szCs w:val="20"/>
              </w:rPr>
            </w:pPr>
          </w:p>
          <w:p w:rsidR="009305D3" w:rsidRPr="00E57824" w:rsidRDefault="009305D3" w:rsidP="009305D3">
            <w:pPr>
              <w:shd w:val="clear" w:color="auto" w:fill="FFFFFF"/>
              <w:jc w:val="both"/>
              <w:rPr>
                <w:rFonts w:ascii="Arial" w:eastAsia="Times New Roman" w:hAnsi="Arial" w:cs="Arial"/>
                <w:sz w:val="20"/>
                <w:szCs w:val="20"/>
                <w:lang w:val="es-MX" w:eastAsia="es-MX"/>
              </w:rPr>
            </w:pPr>
            <w:r w:rsidRPr="00E57824">
              <w:rPr>
                <w:rFonts w:ascii="Arial" w:eastAsia="Times New Roman" w:hAnsi="Arial" w:cs="Arial"/>
                <w:b/>
                <w:bCs/>
                <w:sz w:val="20"/>
                <w:szCs w:val="20"/>
                <w:lang w:val="es-MX" w:eastAsia="es-MX"/>
              </w:rPr>
              <w:t>I.</w:t>
            </w:r>
            <w:r w:rsidRPr="00E57824">
              <w:rPr>
                <w:rFonts w:ascii="Arial" w:eastAsia="Times New Roman" w:hAnsi="Arial" w:cs="Arial"/>
                <w:sz w:val="20"/>
                <w:szCs w:val="20"/>
                <w:lang w:val="es-MX" w:eastAsia="es-MX"/>
              </w:rPr>
              <w:t>     Se otorga un estímulo fiscal a las personas que realicen actividades empresariales, excepto minería, y que para determinar su utilidad puedan deducir el diésel que adquieran para su consumo final, siempre que se utilice exclusivamente como combustible en maquinaria en general, excepto vehículos, consistente en permitir el acreditamiento del impuesto especial sobre producción y servicios a que se refiere el artículo 2o.-A, fracción I de la Ley del Impuesto Especial sobre Producción y Servicios que las personas que enajenen diésel en territorio nacional hayan causado por la enajenación de dicho combustible.</w:t>
            </w:r>
          </w:p>
          <w:p w:rsidR="004D4C82" w:rsidRPr="00E57824" w:rsidRDefault="004D4C82" w:rsidP="009305D3">
            <w:pPr>
              <w:shd w:val="clear" w:color="auto" w:fill="FFFFFF"/>
              <w:jc w:val="both"/>
              <w:rPr>
                <w:rFonts w:ascii="Arial" w:eastAsia="Times New Roman" w:hAnsi="Arial" w:cs="Arial"/>
                <w:sz w:val="20"/>
                <w:szCs w:val="20"/>
                <w:lang w:val="es-MX" w:eastAsia="es-MX"/>
              </w:rPr>
            </w:pPr>
          </w:p>
          <w:p w:rsidR="00EC0111" w:rsidRPr="006A3D98" w:rsidRDefault="009305D3" w:rsidP="006A3D98">
            <w:pPr>
              <w:shd w:val="clear" w:color="auto" w:fill="FFFFFF"/>
              <w:jc w:val="both"/>
              <w:rPr>
                <w:rFonts w:ascii="Arial" w:eastAsia="Times New Roman" w:hAnsi="Arial" w:cs="Arial"/>
                <w:sz w:val="20"/>
                <w:szCs w:val="20"/>
                <w:lang w:val="es-MX" w:eastAsia="es-MX"/>
              </w:rPr>
            </w:pPr>
            <w:r w:rsidRPr="00E57824">
              <w:rPr>
                <w:rFonts w:ascii="Arial" w:eastAsia="Times New Roman" w:hAnsi="Arial" w:cs="Arial"/>
                <w:sz w:val="20"/>
                <w:szCs w:val="20"/>
                <w:lang w:val="es-MX" w:eastAsia="es-MX"/>
              </w:rPr>
              <w:t>       El estímulo a que se refiere el párrafo anterior también será aplicable a los vehículos marinos siempre que se cumplan los requisitos que mediante reglas de carácter general establezca el Servicio de Administración Tributaria.</w:t>
            </w:r>
            <w:bookmarkStart w:id="0" w:name="_GoBack"/>
            <w:bookmarkEnd w:id="0"/>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p w:rsidR="00EC0111" w:rsidRPr="00E57824" w:rsidRDefault="00EC0111">
            <w:pPr>
              <w:rPr>
                <w:rFonts w:ascii="Arial" w:hAnsi="Arial" w:cs="Arial"/>
                <w:sz w:val="20"/>
                <w:szCs w:val="20"/>
              </w:rPr>
            </w:pPr>
          </w:p>
        </w:tc>
        <w:tc>
          <w:tcPr>
            <w:tcW w:w="4382" w:type="dxa"/>
          </w:tcPr>
          <w:p w:rsidR="009305D3" w:rsidRPr="00E57824" w:rsidRDefault="009305D3" w:rsidP="009305D3">
            <w:pPr>
              <w:jc w:val="both"/>
              <w:rPr>
                <w:rFonts w:ascii="Arial" w:hAnsi="Arial" w:cs="Arial"/>
                <w:b/>
                <w:sz w:val="20"/>
                <w:szCs w:val="20"/>
              </w:rPr>
            </w:pPr>
          </w:p>
          <w:p w:rsidR="004F56A5" w:rsidRPr="00E57824" w:rsidRDefault="004F56A5" w:rsidP="004D4C82">
            <w:pPr>
              <w:shd w:val="clear" w:color="auto" w:fill="FFFFFF"/>
              <w:ind w:firstLine="288"/>
              <w:jc w:val="both"/>
              <w:rPr>
                <w:rFonts w:ascii="Arial" w:eastAsia="Times New Roman" w:hAnsi="Arial" w:cs="Arial"/>
                <w:b/>
                <w:bCs/>
                <w:sz w:val="20"/>
                <w:szCs w:val="20"/>
                <w:lang w:val="es-MX" w:eastAsia="es-MX"/>
              </w:rPr>
            </w:pPr>
          </w:p>
          <w:p w:rsidR="004F56A5" w:rsidRPr="00E57824" w:rsidRDefault="004F56A5" w:rsidP="004D4C82">
            <w:pPr>
              <w:shd w:val="clear" w:color="auto" w:fill="FFFFFF"/>
              <w:ind w:firstLine="288"/>
              <w:jc w:val="both"/>
              <w:rPr>
                <w:rFonts w:ascii="Arial" w:eastAsia="Times New Roman" w:hAnsi="Arial" w:cs="Arial"/>
                <w:b/>
                <w:bCs/>
                <w:sz w:val="20"/>
                <w:szCs w:val="20"/>
                <w:lang w:val="es-MX" w:eastAsia="es-MX"/>
              </w:rPr>
            </w:pPr>
          </w:p>
          <w:p w:rsidR="004D4C82" w:rsidRPr="00E57824" w:rsidRDefault="004D4C82" w:rsidP="004D4C82">
            <w:pPr>
              <w:shd w:val="clear" w:color="auto" w:fill="FFFFFF"/>
              <w:ind w:firstLine="288"/>
              <w:jc w:val="both"/>
              <w:rPr>
                <w:rFonts w:ascii="Arial" w:eastAsia="Times New Roman" w:hAnsi="Arial" w:cs="Arial"/>
                <w:sz w:val="20"/>
                <w:szCs w:val="20"/>
                <w:lang w:val="es-MX" w:eastAsia="es-MX"/>
              </w:rPr>
            </w:pPr>
            <w:r w:rsidRPr="00E57824">
              <w:rPr>
                <w:rFonts w:ascii="Arial" w:eastAsia="Times New Roman" w:hAnsi="Arial" w:cs="Arial"/>
                <w:b/>
                <w:bCs/>
                <w:sz w:val="20"/>
                <w:szCs w:val="20"/>
                <w:lang w:val="es-MX" w:eastAsia="es-MX"/>
              </w:rPr>
              <w:t>Artículo 16.</w:t>
            </w:r>
            <w:r w:rsidRPr="00E57824">
              <w:rPr>
                <w:rFonts w:ascii="Arial" w:eastAsia="Times New Roman" w:hAnsi="Arial" w:cs="Arial"/>
                <w:sz w:val="20"/>
                <w:szCs w:val="20"/>
                <w:lang w:val="es-MX" w:eastAsia="es-MX"/>
              </w:rPr>
              <w:t> Durante el ejercicio fiscal de 2016, se estará a lo siguiente:</w:t>
            </w:r>
          </w:p>
          <w:p w:rsidR="009305D3" w:rsidRPr="00E57824" w:rsidRDefault="009305D3" w:rsidP="009305D3">
            <w:pPr>
              <w:jc w:val="both"/>
              <w:rPr>
                <w:rFonts w:ascii="Arial" w:hAnsi="Arial" w:cs="Arial"/>
                <w:b/>
                <w:sz w:val="20"/>
                <w:szCs w:val="20"/>
              </w:rPr>
            </w:pPr>
          </w:p>
          <w:p w:rsidR="004D4C82" w:rsidRPr="00E57824" w:rsidRDefault="004D4C82" w:rsidP="004D4C82">
            <w:pPr>
              <w:shd w:val="clear" w:color="auto" w:fill="FFFFFF"/>
              <w:jc w:val="both"/>
              <w:rPr>
                <w:rFonts w:ascii="Arial" w:eastAsia="Times New Roman" w:hAnsi="Arial" w:cs="Arial"/>
                <w:sz w:val="20"/>
                <w:szCs w:val="20"/>
                <w:lang w:val="es-MX" w:eastAsia="es-MX"/>
              </w:rPr>
            </w:pPr>
            <w:r w:rsidRPr="00E57824">
              <w:rPr>
                <w:rFonts w:ascii="Arial" w:eastAsia="Times New Roman" w:hAnsi="Arial" w:cs="Arial"/>
                <w:b/>
                <w:bCs/>
                <w:sz w:val="20"/>
                <w:szCs w:val="20"/>
                <w:lang w:val="es-MX" w:eastAsia="es-MX"/>
              </w:rPr>
              <w:t>A.</w:t>
            </w:r>
            <w:r w:rsidRPr="00E57824">
              <w:rPr>
                <w:rFonts w:ascii="Arial" w:eastAsia="Times New Roman" w:hAnsi="Arial" w:cs="Arial"/>
                <w:sz w:val="20"/>
                <w:szCs w:val="20"/>
                <w:lang w:val="es-MX" w:eastAsia="es-MX"/>
              </w:rPr>
              <w:t>    En materia de estímulos fiscales</w:t>
            </w:r>
          </w:p>
          <w:p w:rsidR="004D4C82" w:rsidRPr="00E57824" w:rsidRDefault="004D4C82" w:rsidP="004D4C82">
            <w:pPr>
              <w:rPr>
                <w:rFonts w:ascii="Arial" w:hAnsi="Arial" w:cs="Arial"/>
                <w:sz w:val="20"/>
                <w:szCs w:val="20"/>
              </w:rPr>
            </w:pPr>
          </w:p>
          <w:p w:rsidR="00E57824" w:rsidRPr="00E57824" w:rsidRDefault="004F56A5" w:rsidP="00E57824">
            <w:pPr>
              <w:shd w:val="clear" w:color="auto" w:fill="FFFFFF"/>
              <w:jc w:val="both"/>
              <w:rPr>
                <w:rFonts w:ascii="Arial" w:eastAsia="Times New Roman" w:hAnsi="Arial" w:cs="Arial"/>
                <w:sz w:val="20"/>
                <w:szCs w:val="20"/>
                <w:lang w:val="es-MX" w:eastAsia="es-MX"/>
              </w:rPr>
            </w:pPr>
            <w:r w:rsidRPr="00E57824">
              <w:rPr>
                <w:rFonts w:ascii="Arial" w:hAnsi="Arial" w:cs="Arial"/>
                <w:sz w:val="20"/>
                <w:szCs w:val="20"/>
              </w:rPr>
              <w:t>I. Se otorga un estímulo fiscal a las personas que realicen actividades empresariales</w:t>
            </w:r>
            <w:r w:rsidR="00E57824" w:rsidRPr="00E57824">
              <w:rPr>
                <w:rFonts w:ascii="Arial" w:hAnsi="Arial" w:cs="Arial"/>
                <w:sz w:val="20"/>
                <w:szCs w:val="20"/>
              </w:rPr>
              <w:t xml:space="preserve">, excepto minería </w:t>
            </w:r>
            <w:r w:rsidRPr="00E57824">
              <w:rPr>
                <w:rFonts w:ascii="Arial" w:hAnsi="Arial" w:cs="Arial"/>
                <w:sz w:val="20"/>
                <w:szCs w:val="20"/>
              </w:rPr>
              <w:t xml:space="preserve"> y que para determinar su utilidad puedan deducir el </w:t>
            </w:r>
            <w:r w:rsidR="00E57824" w:rsidRPr="00E57824">
              <w:rPr>
                <w:rFonts w:ascii="Arial" w:hAnsi="Arial" w:cs="Arial"/>
                <w:sz w:val="20"/>
                <w:szCs w:val="20"/>
              </w:rPr>
              <w:t>diésel</w:t>
            </w:r>
            <w:r w:rsidRPr="00E57824">
              <w:rPr>
                <w:rFonts w:ascii="Arial" w:hAnsi="Arial" w:cs="Arial"/>
                <w:sz w:val="20"/>
                <w:szCs w:val="20"/>
              </w:rPr>
              <w:t xml:space="preserve"> que adquieran para su consumo final, siempre que se utilice exclusivamente como combustible en maquinaria en general, excepto vehículos, consistente en permitir el acreditamiento del impuesto especial sobre producción y servicios </w:t>
            </w:r>
            <w:r w:rsidR="00E57824" w:rsidRPr="00E57824">
              <w:rPr>
                <w:rFonts w:ascii="Arial" w:eastAsia="Times New Roman" w:hAnsi="Arial" w:cs="Arial"/>
                <w:sz w:val="20"/>
                <w:szCs w:val="20"/>
                <w:lang w:val="es-MX" w:eastAsia="es-MX"/>
              </w:rPr>
              <w:t>el artículo 2o.-A, fracción I de la Ley del Impuesto Especial sobre Producción y Servicios que las personas que enajenen diésel en territorio nacional hayan causado por la enajenación de dicho combustible.</w:t>
            </w:r>
          </w:p>
          <w:p w:rsidR="004F56A5" w:rsidRPr="00E57824" w:rsidRDefault="004F56A5" w:rsidP="004F56A5">
            <w:pPr>
              <w:jc w:val="both"/>
              <w:rPr>
                <w:rFonts w:ascii="Arial" w:hAnsi="Arial" w:cs="Arial"/>
                <w:sz w:val="20"/>
                <w:szCs w:val="20"/>
              </w:rPr>
            </w:pPr>
          </w:p>
          <w:p w:rsidR="004D4C82" w:rsidRPr="00E57824" w:rsidRDefault="004F56A5" w:rsidP="004D4C82">
            <w:pPr>
              <w:shd w:val="clear" w:color="auto" w:fill="FFFFFF"/>
              <w:jc w:val="both"/>
              <w:rPr>
                <w:rFonts w:ascii="Arial" w:eastAsia="Times New Roman" w:hAnsi="Arial" w:cs="Arial"/>
                <w:sz w:val="20"/>
                <w:szCs w:val="20"/>
                <w:lang w:val="es-MX" w:eastAsia="es-MX"/>
              </w:rPr>
            </w:pPr>
            <w:r w:rsidRPr="00E57824">
              <w:rPr>
                <w:rFonts w:ascii="Arial" w:hAnsi="Arial" w:cs="Arial"/>
                <w:sz w:val="20"/>
                <w:szCs w:val="20"/>
              </w:rPr>
              <w:t xml:space="preserve"> </w:t>
            </w:r>
            <w:r w:rsidR="00E57824" w:rsidRPr="00E57824">
              <w:rPr>
                <w:rFonts w:ascii="Arial" w:eastAsia="Times New Roman" w:hAnsi="Arial" w:cs="Arial"/>
                <w:sz w:val="20"/>
                <w:szCs w:val="20"/>
                <w:lang w:val="es-MX" w:eastAsia="es-MX"/>
              </w:rPr>
              <w:t xml:space="preserve">       El estímulo a que se refiere el párrafo anterior también será aplicable a los vehículos marinos </w:t>
            </w:r>
            <w:r w:rsidR="00E57824" w:rsidRPr="00807B53">
              <w:rPr>
                <w:rFonts w:ascii="Arial" w:eastAsia="Times New Roman" w:hAnsi="Arial" w:cs="Arial"/>
                <w:sz w:val="20"/>
                <w:szCs w:val="20"/>
                <w:u w:val="single"/>
                <w:lang w:val="es-MX" w:eastAsia="es-MX"/>
              </w:rPr>
              <w:t>y locomotoras,</w:t>
            </w:r>
            <w:r w:rsidR="00E57824" w:rsidRPr="00E57824">
              <w:rPr>
                <w:rFonts w:ascii="Arial" w:eastAsia="Times New Roman" w:hAnsi="Arial" w:cs="Arial"/>
                <w:sz w:val="20"/>
                <w:szCs w:val="20"/>
                <w:lang w:val="es-MX" w:eastAsia="es-MX"/>
              </w:rPr>
              <w:t xml:space="preserve"> siempre que se cumplan los requisitos que mediante reglas de carácter general establezca el Servicio de Administración Tributaria.</w:t>
            </w:r>
          </w:p>
          <w:p w:rsidR="00EC0111" w:rsidRPr="00E57824" w:rsidRDefault="00EC0111" w:rsidP="004F56A5">
            <w:pPr>
              <w:shd w:val="clear" w:color="auto" w:fill="FFFFFF"/>
              <w:jc w:val="both"/>
              <w:rPr>
                <w:rFonts w:ascii="Arial" w:hAnsi="Arial" w:cs="Arial"/>
                <w:sz w:val="20"/>
                <w:szCs w:val="20"/>
              </w:rPr>
            </w:pPr>
          </w:p>
        </w:tc>
        <w:tc>
          <w:tcPr>
            <w:tcW w:w="4382" w:type="dxa"/>
          </w:tcPr>
          <w:p w:rsidR="00895442" w:rsidRPr="00E57824" w:rsidRDefault="00895442" w:rsidP="00895442">
            <w:pPr>
              <w:rPr>
                <w:rFonts w:ascii="Arial" w:hAnsi="Arial" w:cs="Arial"/>
                <w:sz w:val="20"/>
                <w:szCs w:val="20"/>
              </w:rPr>
            </w:pPr>
          </w:p>
          <w:p w:rsidR="00895442" w:rsidRPr="00E57824" w:rsidRDefault="00895442" w:rsidP="00895442">
            <w:pPr>
              <w:rPr>
                <w:rFonts w:ascii="Arial" w:hAnsi="Arial" w:cs="Arial"/>
                <w:sz w:val="20"/>
                <w:szCs w:val="20"/>
              </w:rPr>
            </w:pPr>
          </w:p>
          <w:p w:rsidR="00895442" w:rsidRPr="00E57824" w:rsidRDefault="00895442" w:rsidP="00895442">
            <w:pPr>
              <w:rPr>
                <w:rFonts w:ascii="Arial" w:hAnsi="Arial" w:cs="Arial"/>
                <w:sz w:val="20"/>
                <w:szCs w:val="20"/>
              </w:rPr>
            </w:pPr>
          </w:p>
          <w:p w:rsidR="00895442" w:rsidRPr="00E57824" w:rsidRDefault="00895442" w:rsidP="00895442">
            <w:pPr>
              <w:rPr>
                <w:rFonts w:ascii="Arial" w:hAnsi="Arial" w:cs="Arial"/>
                <w:sz w:val="20"/>
                <w:szCs w:val="20"/>
              </w:rPr>
            </w:pPr>
          </w:p>
          <w:p w:rsidR="00895442" w:rsidRPr="00E57824" w:rsidRDefault="00895442" w:rsidP="00895442">
            <w:pPr>
              <w:rPr>
                <w:rFonts w:ascii="Arial" w:hAnsi="Arial" w:cs="Arial"/>
                <w:sz w:val="20"/>
                <w:szCs w:val="20"/>
              </w:rPr>
            </w:pPr>
          </w:p>
          <w:p w:rsidR="00895442" w:rsidRPr="00E57824" w:rsidRDefault="00895442" w:rsidP="00895442">
            <w:pPr>
              <w:rPr>
                <w:rFonts w:ascii="Arial" w:hAnsi="Arial" w:cs="Arial"/>
                <w:sz w:val="20"/>
                <w:szCs w:val="20"/>
              </w:rPr>
            </w:pPr>
          </w:p>
          <w:p w:rsidR="00895442" w:rsidRPr="00E57824" w:rsidRDefault="00895442" w:rsidP="00E57824">
            <w:pPr>
              <w:jc w:val="both"/>
              <w:rPr>
                <w:rFonts w:ascii="Arial" w:hAnsi="Arial" w:cs="Arial"/>
                <w:sz w:val="20"/>
                <w:szCs w:val="20"/>
              </w:rPr>
            </w:pPr>
          </w:p>
          <w:p w:rsidR="00895442" w:rsidRPr="00E57824" w:rsidRDefault="00895442" w:rsidP="00E57824">
            <w:pPr>
              <w:jc w:val="both"/>
              <w:rPr>
                <w:rFonts w:ascii="Arial" w:hAnsi="Arial" w:cs="Arial"/>
                <w:sz w:val="20"/>
                <w:szCs w:val="20"/>
              </w:rPr>
            </w:pPr>
            <w:r w:rsidRPr="00E57824">
              <w:rPr>
                <w:rFonts w:ascii="Arial" w:hAnsi="Arial" w:cs="Arial"/>
                <w:sz w:val="20"/>
                <w:szCs w:val="20"/>
              </w:rPr>
              <w:t>En la Iniciativa de Ley de Ingresos y el Proyecto de Presupuesto de Egresos de la Federación correspondientes al ejercicio fiscal de 2016</w:t>
            </w:r>
            <w:r w:rsidR="003C54F2" w:rsidRPr="00E57824">
              <w:rPr>
                <w:rFonts w:ascii="Arial" w:hAnsi="Arial" w:cs="Arial"/>
                <w:sz w:val="20"/>
                <w:szCs w:val="20"/>
              </w:rPr>
              <w:t>, nos permitimos p</w:t>
            </w:r>
            <w:r w:rsidR="004F56A5" w:rsidRPr="00E57824">
              <w:rPr>
                <w:rFonts w:ascii="Arial" w:hAnsi="Arial" w:cs="Arial"/>
                <w:sz w:val="20"/>
                <w:szCs w:val="20"/>
              </w:rPr>
              <w:t>roponer sea incluido el sector d</w:t>
            </w:r>
            <w:r w:rsidR="003C54F2" w:rsidRPr="00E57824">
              <w:rPr>
                <w:rFonts w:ascii="Arial" w:hAnsi="Arial" w:cs="Arial"/>
                <w:sz w:val="20"/>
                <w:szCs w:val="20"/>
              </w:rPr>
              <w:t>e transporte ferroviario de carga a fin de obtener los ben</w:t>
            </w:r>
            <w:r w:rsidR="00E57824" w:rsidRPr="00E57824">
              <w:rPr>
                <w:rFonts w:ascii="Arial" w:hAnsi="Arial" w:cs="Arial"/>
                <w:sz w:val="20"/>
                <w:szCs w:val="20"/>
              </w:rPr>
              <w:t>eficios de este estímulo fiscal para el desarrollo del sector.</w:t>
            </w:r>
          </w:p>
          <w:p w:rsidR="003C54F2" w:rsidRPr="00E57824" w:rsidRDefault="003C54F2" w:rsidP="003C54F2">
            <w:pPr>
              <w:rPr>
                <w:rFonts w:ascii="Arial" w:hAnsi="Arial" w:cs="Arial"/>
                <w:sz w:val="20"/>
                <w:szCs w:val="20"/>
              </w:rPr>
            </w:pPr>
          </w:p>
        </w:tc>
      </w:tr>
    </w:tbl>
    <w:p w:rsidR="00EC0111" w:rsidRPr="00E57824" w:rsidRDefault="00EC0111" w:rsidP="00E57824">
      <w:pPr>
        <w:rPr>
          <w:rFonts w:ascii="Arial" w:hAnsi="Arial" w:cs="Arial"/>
          <w:sz w:val="20"/>
          <w:szCs w:val="20"/>
        </w:rPr>
      </w:pPr>
    </w:p>
    <w:sectPr w:rsidR="00EC0111" w:rsidRPr="00E57824" w:rsidSect="00EC01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85" w:rsidRDefault="00165685" w:rsidP="005A587E">
      <w:r>
        <w:separator/>
      </w:r>
    </w:p>
  </w:endnote>
  <w:endnote w:type="continuationSeparator" w:id="0">
    <w:p w:rsidR="00165685" w:rsidRDefault="00165685" w:rsidP="005A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85" w:rsidRDefault="00165685" w:rsidP="005A587E">
      <w:r>
        <w:separator/>
      </w:r>
    </w:p>
  </w:footnote>
  <w:footnote w:type="continuationSeparator" w:id="0">
    <w:p w:rsidR="00165685" w:rsidRDefault="00165685" w:rsidP="005A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6C5"/>
    <w:multiLevelType w:val="hybridMultilevel"/>
    <w:tmpl w:val="78082874"/>
    <w:lvl w:ilvl="0" w:tplc="81E49EA4">
      <w:start w:val="1"/>
      <w:numFmt w:val="upperRoman"/>
      <w:lvlText w:val="%1."/>
      <w:lvlJc w:val="left"/>
      <w:pPr>
        <w:ind w:left="1080" w:hanging="720"/>
      </w:pPr>
      <w:rPr>
        <w:rFonts w:eastAsia="Times New Roman"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11"/>
    <w:rsid w:val="00113527"/>
    <w:rsid w:val="00165685"/>
    <w:rsid w:val="00262E20"/>
    <w:rsid w:val="00363543"/>
    <w:rsid w:val="00394C6B"/>
    <w:rsid w:val="003C2FBA"/>
    <w:rsid w:val="003C54F2"/>
    <w:rsid w:val="004D4C82"/>
    <w:rsid w:val="004F56A5"/>
    <w:rsid w:val="005A587E"/>
    <w:rsid w:val="006A3D98"/>
    <w:rsid w:val="006C39F2"/>
    <w:rsid w:val="007E13A7"/>
    <w:rsid w:val="00807B53"/>
    <w:rsid w:val="00895442"/>
    <w:rsid w:val="008E79D5"/>
    <w:rsid w:val="009305D3"/>
    <w:rsid w:val="00973858"/>
    <w:rsid w:val="00A746E5"/>
    <w:rsid w:val="00AB00D7"/>
    <w:rsid w:val="00D06554"/>
    <w:rsid w:val="00D073B0"/>
    <w:rsid w:val="00D200C9"/>
    <w:rsid w:val="00D4046C"/>
    <w:rsid w:val="00E57824"/>
    <w:rsid w:val="00EC0111"/>
    <w:rsid w:val="00F818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E24C8E2-7A63-4DEF-B6A3-E35C700F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587E"/>
    <w:rPr>
      <w:color w:val="0000FF" w:themeColor="hyperlink"/>
      <w:u w:val="single"/>
    </w:rPr>
  </w:style>
  <w:style w:type="paragraph" w:styleId="Encabezado">
    <w:name w:val="header"/>
    <w:basedOn w:val="Normal"/>
    <w:link w:val="EncabezadoCar"/>
    <w:uiPriority w:val="99"/>
    <w:unhideWhenUsed/>
    <w:rsid w:val="005A587E"/>
    <w:pPr>
      <w:tabs>
        <w:tab w:val="center" w:pos="4419"/>
        <w:tab w:val="right" w:pos="8838"/>
      </w:tabs>
    </w:pPr>
  </w:style>
  <w:style w:type="character" w:customStyle="1" w:styleId="EncabezadoCar">
    <w:name w:val="Encabezado Car"/>
    <w:basedOn w:val="Fuentedeprrafopredeter"/>
    <w:link w:val="Encabezado"/>
    <w:uiPriority w:val="99"/>
    <w:rsid w:val="005A587E"/>
  </w:style>
  <w:style w:type="paragraph" w:styleId="Piedepgina">
    <w:name w:val="footer"/>
    <w:basedOn w:val="Normal"/>
    <w:link w:val="PiedepginaCar"/>
    <w:uiPriority w:val="99"/>
    <w:unhideWhenUsed/>
    <w:rsid w:val="005A587E"/>
    <w:pPr>
      <w:tabs>
        <w:tab w:val="center" w:pos="4419"/>
        <w:tab w:val="right" w:pos="8838"/>
      </w:tabs>
    </w:pPr>
  </w:style>
  <w:style w:type="character" w:customStyle="1" w:styleId="PiedepginaCar">
    <w:name w:val="Pie de página Car"/>
    <w:basedOn w:val="Fuentedeprrafopredeter"/>
    <w:link w:val="Piedepgina"/>
    <w:uiPriority w:val="99"/>
    <w:rsid w:val="005A587E"/>
  </w:style>
  <w:style w:type="character" w:customStyle="1" w:styleId="apple-converted-space">
    <w:name w:val="apple-converted-space"/>
    <w:basedOn w:val="Fuentedeprrafopredeter"/>
    <w:rsid w:val="009305D3"/>
  </w:style>
  <w:style w:type="paragraph" w:styleId="Prrafodelista">
    <w:name w:val="List Paragraph"/>
    <w:basedOn w:val="Normal"/>
    <w:uiPriority w:val="34"/>
    <w:qFormat/>
    <w:rsid w:val="004D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4835">
      <w:bodyDiv w:val="1"/>
      <w:marLeft w:val="0"/>
      <w:marRight w:val="0"/>
      <w:marTop w:val="0"/>
      <w:marBottom w:val="0"/>
      <w:divBdr>
        <w:top w:val="none" w:sz="0" w:space="0" w:color="auto"/>
        <w:left w:val="none" w:sz="0" w:space="0" w:color="auto"/>
        <w:bottom w:val="none" w:sz="0" w:space="0" w:color="auto"/>
        <w:right w:val="none" w:sz="0" w:space="0" w:color="auto"/>
      </w:divBdr>
      <w:divsChild>
        <w:div w:id="1961960805">
          <w:marLeft w:val="288"/>
          <w:marRight w:val="0"/>
          <w:marTop w:val="0"/>
          <w:marBottom w:val="101"/>
          <w:divBdr>
            <w:top w:val="none" w:sz="0" w:space="0" w:color="auto"/>
            <w:left w:val="none" w:sz="0" w:space="0" w:color="auto"/>
            <w:bottom w:val="none" w:sz="0" w:space="0" w:color="auto"/>
            <w:right w:val="none" w:sz="0" w:space="0" w:color="auto"/>
          </w:divBdr>
        </w:div>
        <w:div w:id="362023263">
          <w:marLeft w:val="288"/>
          <w:marRight w:val="0"/>
          <w:marTop w:val="0"/>
          <w:marBottom w:val="101"/>
          <w:divBdr>
            <w:top w:val="none" w:sz="0" w:space="0" w:color="auto"/>
            <w:left w:val="none" w:sz="0" w:space="0" w:color="auto"/>
            <w:bottom w:val="none" w:sz="0" w:space="0" w:color="auto"/>
            <w:right w:val="none" w:sz="0" w:space="0" w:color="auto"/>
          </w:divBdr>
        </w:div>
      </w:divsChild>
    </w:div>
    <w:div w:id="902061825">
      <w:bodyDiv w:val="1"/>
      <w:marLeft w:val="0"/>
      <w:marRight w:val="0"/>
      <w:marTop w:val="0"/>
      <w:marBottom w:val="0"/>
      <w:divBdr>
        <w:top w:val="none" w:sz="0" w:space="0" w:color="auto"/>
        <w:left w:val="none" w:sz="0" w:space="0" w:color="auto"/>
        <w:bottom w:val="none" w:sz="0" w:space="0" w:color="auto"/>
        <w:right w:val="none" w:sz="0" w:space="0" w:color="auto"/>
      </w:divBdr>
      <w:divsChild>
        <w:div w:id="642269235">
          <w:marLeft w:val="0"/>
          <w:marRight w:val="0"/>
          <w:marTop w:val="0"/>
          <w:marBottom w:val="101"/>
          <w:divBdr>
            <w:top w:val="none" w:sz="0" w:space="0" w:color="auto"/>
            <w:left w:val="none" w:sz="0" w:space="0" w:color="auto"/>
            <w:bottom w:val="none" w:sz="0" w:space="0" w:color="auto"/>
            <w:right w:val="none" w:sz="0" w:space="0" w:color="auto"/>
          </w:divBdr>
        </w:div>
        <w:div w:id="2143499029">
          <w:marLeft w:val="288"/>
          <w:marRight w:val="0"/>
          <w:marTop w:val="0"/>
          <w:marBottom w:val="101"/>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Raymundo Reyes Romero</dc:creator>
  <cp:keywords/>
  <dc:description/>
  <cp:lastModifiedBy>Mariana</cp:lastModifiedBy>
  <cp:revision>5</cp:revision>
  <dcterms:created xsi:type="dcterms:W3CDTF">2015-10-09T21:35:00Z</dcterms:created>
  <dcterms:modified xsi:type="dcterms:W3CDTF">2015-10-09T21:38:00Z</dcterms:modified>
</cp:coreProperties>
</file>